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7DD" w:rsidRPr="005157DD" w:rsidRDefault="005157DD" w:rsidP="005157DD">
      <w:pPr>
        <w:spacing w:before="100" w:beforeAutospacing="1" w:after="100" w:afterAutospacing="1" w:line="240" w:lineRule="auto"/>
        <w:jc w:val="both"/>
        <w:outlineLvl w:val="2"/>
        <w:rPr>
          <w:rFonts w:ascii="Calibri Light" w:eastAsia="Times New Roman" w:hAnsi="Calibri Light" w:cs="Calibri Light"/>
          <w:b/>
          <w:bCs/>
          <w:color w:val="212121"/>
          <w:lang w:eastAsia="tr-TR"/>
        </w:rPr>
      </w:pPr>
    </w:p>
    <w:p w:rsidR="005157DD" w:rsidRPr="005157DD" w:rsidRDefault="005157DD" w:rsidP="005157DD">
      <w:pPr>
        <w:jc w:val="center"/>
        <w:rPr>
          <w:rFonts w:ascii="Calibri" w:eastAsia="Calibri" w:hAnsi="Calibri" w:cs="Calibri"/>
          <w:b/>
          <w:sz w:val="24"/>
          <w:szCs w:val="24"/>
        </w:rPr>
      </w:pPr>
      <w:r w:rsidRPr="005157DD">
        <w:rPr>
          <w:rFonts w:ascii="Calibri" w:eastAsia="Calibri" w:hAnsi="Calibri" w:cs="Calibri"/>
          <w:b/>
          <w:sz w:val="24"/>
          <w:szCs w:val="24"/>
        </w:rPr>
        <w:t>AKSARAY ÜNİVERSİTESİ</w:t>
      </w:r>
    </w:p>
    <w:p w:rsidR="005157DD" w:rsidRPr="005157DD" w:rsidRDefault="005157DD" w:rsidP="005157DD">
      <w:pPr>
        <w:jc w:val="center"/>
        <w:rPr>
          <w:rFonts w:ascii="Calibri" w:eastAsia="Calibri" w:hAnsi="Calibri" w:cs="Calibri"/>
          <w:b/>
          <w:sz w:val="24"/>
          <w:szCs w:val="24"/>
        </w:rPr>
      </w:pPr>
      <w:r w:rsidRPr="005157DD">
        <w:rPr>
          <w:rFonts w:ascii="Calibri" w:eastAsia="Calibri" w:hAnsi="Calibri" w:cs="Calibri"/>
          <w:b/>
          <w:sz w:val="24"/>
          <w:szCs w:val="24"/>
        </w:rPr>
        <w:t>EĞİTİM FAKÜLTESİ</w:t>
      </w:r>
    </w:p>
    <w:p w:rsidR="005157DD" w:rsidRPr="005157DD" w:rsidRDefault="005157DD" w:rsidP="005157DD">
      <w:pPr>
        <w:jc w:val="center"/>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r w:rsidRPr="005157DD">
        <w:rPr>
          <w:rFonts w:ascii="Calibri" w:eastAsia="Calibri" w:hAnsi="Calibri" w:cs="Calibri"/>
          <w:b/>
          <w:sz w:val="24"/>
          <w:szCs w:val="24"/>
        </w:rPr>
        <w:t>EĞİTİM BİLİMLERİ BÖLÜMÜ BİRİM ÖZ DEĞERLENDİRME RAPORU (BÖDR)</w:t>
      </w: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jc w:val="center"/>
        <w:rPr>
          <w:rFonts w:ascii="Calibri" w:eastAsia="Calibri" w:hAnsi="Calibri" w:cs="Calibri"/>
          <w:b/>
          <w:sz w:val="24"/>
          <w:szCs w:val="24"/>
        </w:rPr>
      </w:pPr>
      <w:r w:rsidRPr="005157DD">
        <w:rPr>
          <w:rFonts w:ascii="Calibri" w:eastAsia="Calibri" w:hAnsi="Calibri" w:cs="Calibri"/>
          <w:b/>
          <w:sz w:val="24"/>
          <w:szCs w:val="24"/>
        </w:rPr>
        <w:t>2025</w:t>
      </w:r>
    </w:p>
    <w:p w:rsidR="005157DD" w:rsidRPr="005157DD" w:rsidRDefault="005157DD" w:rsidP="005157DD">
      <w:pPr>
        <w:jc w:val="both"/>
        <w:rPr>
          <w:rFonts w:ascii="Calibri" w:eastAsia="Calibri" w:hAnsi="Calibri" w:cs="Calibri"/>
          <w:b/>
          <w:sz w:val="24"/>
          <w:szCs w:val="24"/>
        </w:rPr>
      </w:pPr>
    </w:p>
    <w:p w:rsidR="005157DD" w:rsidRPr="005157DD" w:rsidRDefault="005157DD" w:rsidP="005157DD">
      <w:pPr>
        <w:spacing w:before="100" w:beforeAutospacing="1" w:after="100" w:afterAutospacing="1" w:line="240" w:lineRule="auto"/>
        <w:jc w:val="both"/>
        <w:outlineLvl w:val="2"/>
        <w:rPr>
          <w:rFonts w:ascii="Calibri Light" w:eastAsia="Times New Roman" w:hAnsi="Calibri Light" w:cs="Calibri Light"/>
          <w:b/>
          <w:bCs/>
          <w:color w:val="212121"/>
          <w:lang w:eastAsia="tr-TR"/>
        </w:rPr>
      </w:pPr>
    </w:p>
    <w:p w:rsidR="005157DD" w:rsidRPr="005157DD" w:rsidRDefault="005157DD" w:rsidP="005157DD">
      <w:pPr>
        <w:spacing w:before="100" w:beforeAutospacing="1" w:after="100" w:afterAutospacing="1" w:line="240" w:lineRule="auto"/>
        <w:jc w:val="both"/>
        <w:outlineLvl w:val="2"/>
        <w:rPr>
          <w:rFonts w:ascii="Calibri Light" w:eastAsia="Times New Roman" w:hAnsi="Calibri Light" w:cs="Calibri Light"/>
          <w:b/>
          <w:bCs/>
          <w:color w:val="212121"/>
          <w:lang w:eastAsia="tr-TR"/>
        </w:rPr>
      </w:pPr>
      <w:r w:rsidRPr="005157DD">
        <w:rPr>
          <w:rFonts w:ascii="Calibri Light" w:eastAsia="Times New Roman" w:hAnsi="Calibri Light" w:cs="Calibri Light"/>
          <w:b/>
          <w:bCs/>
          <w:color w:val="212121"/>
          <w:lang w:eastAsia="tr-TR"/>
        </w:rPr>
        <w:t>BÖLÜM DEĞERLENDİRME RAPORU</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 xml:space="preserve">Değerlendirmeci:  </w:t>
      </w:r>
      <w:r w:rsidRPr="005157DD">
        <w:rPr>
          <w:rFonts w:ascii="Calibri Light" w:eastAsia="Times New Roman" w:hAnsi="Calibri Light" w:cs="Calibri Light"/>
          <w:color w:val="464E5F"/>
          <w:lang w:eastAsia="tr-TR"/>
        </w:rPr>
        <w:t>Prof. Dr. SAVAŞ KARAGÖZ</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p>
    <w:p w:rsidR="005157DD" w:rsidRPr="005157DD" w:rsidRDefault="005157DD" w:rsidP="005157DD">
      <w:pPr>
        <w:spacing w:after="0" w:line="240" w:lineRule="auto"/>
        <w:jc w:val="both"/>
        <w:rPr>
          <w:rFonts w:ascii="Calibri Light" w:eastAsia="Times New Roman" w:hAnsi="Calibri Light" w:cs="Calibri Light"/>
          <w:color w:val="464E5F"/>
          <w:lang w:eastAsia="tr-TR"/>
        </w:rPr>
      </w:pPr>
    </w:p>
    <w:p w:rsidR="005157DD" w:rsidRPr="005157DD" w:rsidRDefault="005157DD" w:rsidP="005157DD">
      <w:pPr>
        <w:spacing w:after="100" w:afterAutospacing="1" w:line="240" w:lineRule="auto"/>
        <w:jc w:val="both"/>
        <w:outlineLvl w:val="0"/>
        <w:rPr>
          <w:rFonts w:ascii="Calibri Light" w:eastAsia="Times New Roman" w:hAnsi="Calibri Light" w:cs="Calibri Light"/>
          <w:color w:val="464E5F"/>
          <w:kern w:val="36"/>
          <w:lang w:eastAsia="tr-TR"/>
        </w:rPr>
      </w:pPr>
      <w:r w:rsidRPr="005157DD">
        <w:rPr>
          <w:rFonts w:ascii="Calibri Light" w:eastAsia="Times New Roman" w:hAnsi="Calibri Light" w:cs="Calibri Light"/>
          <w:b/>
          <w:bCs/>
          <w:color w:val="464E5F"/>
          <w:kern w:val="36"/>
          <w:lang w:eastAsia="tr-TR"/>
        </w:rPr>
        <w:t>A. LİDERLİK, YÖNETİŞİM ve KALİTE</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A.1. Liderlik ve Kalite</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A.1.1. Yönetişim modeli ve idari yapı</w:t>
      </w:r>
    </w:p>
    <w:p w:rsidR="005157DD" w:rsidRPr="005157DD" w:rsidRDefault="005157DD" w:rsidP="005157DD">
      <w:pPr>
        <w:spacing w:after="0" w:line="240" w:lineRule="auto"/>
        <w:jc w:val="both"/>
        <w:outlineLvl w:val="0"/>
        <w:rPr>
          <w:rFonts w:ascii="Calibri Light" w:eastAsia="Times New Roman" w:hAnsi="Calibri Light" w:cs="Calibri Light"/>
          <w:color w:val="464E5F"/>
          <w:kern w:val="36"/>
          <w:lang w:eastAsia="tr-TR"/>
        </w:rPr>
      </w:pPr>
      <w:r w:rsidRPr="005157DD">
        <w:rPr>
          <w:rFonts w:ascii="Calibri Light" w:eastAsia="Times New Roman" w:hAnsi="Calibri Light" w:cs="Calibri Light"/>
          <w:color w:val="464E5F"/>
          <w:kern w:val="36"/>
          <w:lang w:eastAsia="tr-TR"/>
        </w:rPr>
        <w:t>EĞİTİM BİLİMLERİ ANA BİLİM DALI BİRİM ÖZ DEĞERLENDİRME RAPORU (BÖDR)</w:t>
      </w:r>
    </w:p>
    <w:p w:rsidR="005157DD" w:rsidRPr="005157DD" w:rsidRDefault="005157DD" w:rsidP="005157DD">
      <w:pPr>
        <w:spacing w:after="0" w:line="240" w:lineRule="auto"/>
        <w:jc w:val="both"/>
        <w:outlineLvl w:val="1"/>
        <w:rPr>
          <w:rFonts w:ascii="Calibri Light" w:eastAsia="Times New Roman" w:hAnsi="Calibri Light" w:cs="Calibri Light"/>
          <w:color w:val="464E5F"/>
          <w:lang w:eastAsia="tr-TR"/>
        </w:rPr>
      </w:pPr>
      <w:bookmarkStart w:id="0" w:name="_Toc154652310"/>
      <w:r w:rsidRPr="005157DD">
        <w:rPr>
          <w:rFonts w:ascii="Calibri Light" w:eastAsia="Times New Roman" w:hAnsi="Calibri Light" w:cs="Calibri Light"/>
          <w:color w:val="464E5F"/>
          <w:lang w:eastAsia="tr-TR"/>
        </w:rPr>
        <w:t>Özet</w:t>
      </w:r>
      <w:bookmarkEnd w:id="0"/>
    </w:p>
    <w:p w:rsidR="005157DD" w:rsidRPr="005157DD" w:rsidRDefault="005157DD" w:rsidP="005157DD">
      <w:pPr>
        <w:spacing w:after="0" w:line="240" w:lineRule="auto"/>
        <w:jc w:val="both"/>
        <w:rPr>
          <w:rFonts w:ascii="Calibri Light" w:eastAsia="Times New Roman" w:hAnsi="Calibri Light" w:cs="Calibri Light"/>
          <w:color w:val="464E5F"/>
          <w:lang w:eastAsia="tr-TR"/>
        </w:rPr>
      </w:pPr>
      <w:bookmarkStart w:id="1" w:name="_Toc154652311"/>
      <w:r w:rsidRPr="005157DD">
        <w:rPr>
          <w:rFonts w:ascii="Calibri Light" w:eastAsia="Times New Roman" w:hAnsi="Calibri Light" w:cs="Calibri Light"/>
          <w:color w:val="464E5F"/>
          <w:lang w:eastAsia="tr-TR"/>
        </w:rPr>
        <w:t>Bu Birim Öz Değerlendirme Raporu; Aksaray Üniversitesi, Sosyal Bilimler Enstitüsü, Eğitm Bilimleri Ana Bilim Dalının</w:t>
      </w:r>
      <w:r w:rsidRPr="005157DD">
        <w:rPr>
          <w:rFonts w:ascii="Calibri Light" w:eastAsia="Times New Roman" w:hAnsi="Calibri Light" w:cs="Calibri Light"/>
          <w:b/>
          <w:bCs/>
          <w:color w:val="464E5F"/>
          <w:lang w:eastAsia="tr-TR"/>
        </w:rPr>
        <w:t> </w:t>
      </w:r>
      <w:r w:rsidRPr="005157DD">
        <w:rPr>
          <w:rFonts w:ascii="Calibri Light" w:eastAsia="Times New Roman" w:hAnsi="Calibri Light" w:cs="Calibri Light"/>
          <w:color w:val="464E5F"/>
          <w:lang w:eastAsia="tr-TR"/>
        </w:rPr>
        <w:t>eğitim öğretim kalitesini artırabilmesi ve gerçekleşen hızlı değişimlere ayak uydurabilmesi için uygulaması gereken stratejik gereksinimleri iç ve dış paydaşlardan elde edilen geri bildirimler doğrultusunda değerlendirmek amacıyla hazırlanmıştır. Raporun hazırlama sürecinde Bölüm yönetiminden bilgi, belge, kanıtlar ve birime özgü kanıtlar ve raporlar talep edilmiş olup, raporun hazırlanma sürecinde ve kalite komisyonu çalışmalarında birime katkısının arttırılması amacıyla kapsayıcılık ve şeffaflık faktörünün sağlanmasına önem verilmiştir. Bu raporun ortaya koyduğu fırsatlar ve güçlü yanların yanında, eksikler ve sorunlar da irdelenip, sonuçlarını değerlendirerek gerekli revizyon ve güncellemeler yapılmaktadır.</w:t>
      </w:r>
      <w:bookmarkEnd w:id="1"/>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Eğitim Bilimleri Bölümünün 2024 Birim İç Değerlendirme Raporu; bölümün Kurumsal Dış Değerlendirme ve Akreditasyon Ölçütleri, Kurum İç Değerlendirme Raporu Hazırlama Kılavuzu (Sürüm 3.2.), YÖKAK Dereceli Değerlendirme Anahtarı (Rubrik) ve önceki yıllara ait Üniversite KİDR raporları dikkate alınarak hazırlanmıştır.</w:t>
      </w:r>
    </w:p>
    <w:p w:rsidR="005157DD" w:rsidRPr="005157DD" w:rsidRDefault="005157DD" w:rsidP="005157DD">
      <w:pPr>
        <w:spacing w:after="0"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B87529">
      <w:pPr>
        <w:numPr>
          <w:ilvl w:val="0"/>
          <w:numId w:val="1"/>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Birim/ Bölüm Hakkında Bilgiler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Aksaray Üniversitesi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Sosyal Bilimler Enstitüsü</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Eğitim Bilimleri Anabilim Dalı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Eğitim programları ve Öğretim Bilim Dalı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Bahçesaray Mah. 170. Cad. No:10 68100 Merkez/AKSARAY</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Eğitim Programları ve Öğretim Program Danışmanı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Prof. Dr. Savaş Karagöz</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E-posta </w:t>
      </w:r>
      <w:r w:rsidRPr="005157DD">
        <w:rPr>
          <w:rFonts w:ascii="Calibri Light" w:eastAsia="Times New Roman" w:hAnsi="Calibri Light" w:cs="Calibri Light"/>
          <w:color w:val="464E5F"/>
          <w:lang w:eastAsia="tr-TR"/>
        </w:rPr>
        <w:t>: savaskaragoz @aksaray.edu.tr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Telefon </w:t>
      </w:r>
      <w:r w:rsidRPr="005157DD">
        <w:rPr>
          <w:rFonts w:ascii="Calibri Light" w:eastAsia="Times New Roman" w:hAnsi="Calibri Light" w:cs="Calibri Light"/>
          <w:color w:val="464E5F"/>
          <w:lang w:eastAsia="tr-TR"/>
        </w:rPr>
        <w:t>: 90 382 288 3457</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Dahili</w:t>
      </w:r>
      <w:r w:rsidRPr="005157DD">
        <w:rPr>
          <w:rFonts w:ascii="Calibri Light" w:eastAsia="Times New Roman" w:hAnsi="Calibri Light" w:cs="Calibri Light"/>
          <w:color w:val="464E5F"/>
          <w:lang w:eastAsia="tr-TR"/>
        </w:rPr>
        <w:t>: (3457)</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Faks </w:t>
      </w:r>
      <w:r w:rsidRPr="005157DD">
        <w:rPr>
          <w:rFonts w:ascii="Calibri Light" w:eastAsia="Times New Roman" w:hAnsi="Calibri Light" w:cs="Calibri Light"/>
          <w:color w:val="464E5F"/>
          <w:lang w:eastAsia="tr-TR"/>
        </w:rPr>
        <w:t>: 90 382 288 3457</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Kanıtlar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8" w:history="1">
        <w:r w:rsidRPr="005157DD">
          <w:rPr>
            <w:rFonts w:ascii="Calibri Light" w:eastAsia="Times New Roman" w:hAnsi="Calibri Light" w:cs="Calibri Light"/>
            <w:color w:val="3699FF"/>
            <w:lang w:eastAsia="tr-TR"/>
          </w:rPr>
          <w:t>https://sbe.aksaray.edu.tr/anabilim-dallari</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https://epo.aksaray.edu.tr/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https://epo.aksaray.edu.tr/Akademik-Personel</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p>
    <w:p w:rsidR="005157DD" w:rsidRPr="005157DD" w:rsidRDefault="005157DD" w:rsidP="00B87529">
      <w:pPr>
        <w:numPr>
          <w:ilvl w:val="0"/>
          <w:numId w:val="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Eğitim Bilimleri Ana Bilim Dalının Kısa Tarihçesi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xml:space="preserve">Eğitim Bilimleri Bölümü; 17 Mart 2006 tarihli Resmi Gazetede yayınlanan 5467 sayılı kanun ile Aksaray Üniversitesi’ Eğitim Fakültesi bünyesinde açılmıştır.  Bölüm bünyesinde “Psikolojik Danışma ve Rehberlik (PDR)”, </w:t>
      </w:r>
      <w:r w:rsidRPr="005157DD">
        <w:rPr>
          <w:rFonts w:ascii="Calibri Light" w:eastAsia="Times New Roman" w:hAnsi="Calibri Light" w:cs="Calibri Light"/>
          <w:color w:val="464E5F"/>
          <w:lang w:eastAsia="tr-TR"/>
        </w:rPr>
        <w:lastRenderedPageBreak/>
        <w:t>“Eğitim Yönetimi”, “Eğitimde Ölçme ve Değerlendirme”, “Eğitim Programları ve Öğretim”, “Öğretim Teknolojileri” olmak üzere beş farklı anabilim dalı bulunmaktadır. PDR Anabilim Dalı’nda tezli yüksek lisans ve Tezsiz Aile ve evliklilik danışmanlığı; Eğitim Yönetimi Anabilim Dalı’nda ise tezli yüksek lisans, Eğitim Programları ve Öğretim Anabilim Dalı’nda Tezli ve Tezsiz Yüksek Lisans ve 03.09.2025 tarihinde açılan Öğretim Teknolojileri yüksek lisans programı mevcuttur.  Eğitim Bilimleri Bölümü’nde 2025 yılı Kasım ayı itibarıyla 22 öğretim elemanı, 2 Dr. araştırma görevlisi, 2 araştırma görevlisi yer almakta ve 209 lisans öğrencisi öğrenim görmektedir.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Tezli /Rehberlik ve Psikolojik Danışmanlık Bilim Dalı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Rehberlik ve Psikolojik Danışmanlık programının amacı; alanı ile ilgili profesyonel tutum ve davranışlara sahip; kültürel anlamda gelişime açık, eğitim ve psikoloji alanında dünyadaki yenilikleri takip edebilecek ve alanında bu yenilikleri uygulayabilecek psikolojik danışmanlar yetiştirmektir. Bu anlamda, bireysel  farklılıklara duyarlı ve etkili iletişim becerileri geliştirmeye yönelik yeterlikleri geliştirmek de önemsenmektedir.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Rehberlik ve Psikolojik Danışmanlık Tezli Yüksek Lisans Programı, Eğitim Bilimleri Anabilim Dalı bünyesinde yer almaktadır. Rehberlik ve Psikolojik Danışma bilim dalı, bireylerin ruh sağlığını koruma, önleme, geliştirme ve psikolojik müdahaleler sunma alanlarında uzmanlaşmış psikolojik danışmanlar yetiştirmeyi amaçlamaktadır. Bilim dalında, 3 Profesör, 1 Doç. Dr, 1 Dr. öğretim görevlisi ve 2 Dr. araştırma görevlisi ve 2 araştırma görevlisi olmak üzere 9 öğretim elamanı tam zamanlı olarak görev yapmaktadır. Aksaray Üniversitesi Yerleşkesinde faaliyet gösteren RPD bilim dalı, eğitim faaliyetlerini desteklemek amacıyla modern derslikler ve uygulama için psikolojik danışma odalarıyla donatılmıştır. Derslikler, öğretim üyeleri ve öğrenciler için akıllı tahta ve projeksiyon gibi ileri teknoloji donanımlarıyla modern bir öğrenme ortamı sunmaktadır. Üniversitenin ana kampüsünde merkezi bir kütüphane bulunmaktadır.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Aksaray Üniversitesi Sosyal Bilimler Enstitüsü Eğitim Bilimleri Ana Bilim Dalı bünyesinde yer alan Rehberlik ve Psikolojik Danışmanlık bilim dalının amacı,  dünyadaki değişim ve gelişimlere, farklı kültürlere ve bireylerin sorunlarına duyarlı, mesleğin kuramsal temelini ve felsefesini kavrayıp çağın gereklerine uyarlayabilen, etik sorumluluk bilinci kazanmış, bilgi ve iletişim teknolojilerini mesleğinde etkili bir şekilde kullanabilen, farklı alanlardaki (eğitim,sağlık, endüstri, sosyal hizmetler vb.) kurumlarda çalışabilecek yeterli bilgi ve beceriye sahip lisansüstü öğrenciler yetiştirmektir.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Tezsiz/ Aile ve Evlilik Danışmanlığı Yüksek Lisans Programı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Aksaray Üniversitesi Sosyal Bilimler Enstitüsü bünyesinde yürütülen Aile ve Evlilik Danışmanlığı Tezsiz Yüksek Lisans Programı, aile ve çift ilişkilerinde ortaya çıkan psikolojik, sosyal ve iletişim temelli sorunların profesyonel biçimde ele alınmasına yönelik donanımlı uzmanlar yetiştirmeyi amaçlayan uygulamalı bir lisansüstü eğitim programıdır. Program, güncel toplumsal ihtiyaçlar, aile yapısındaki değişimler ve artan danışmanlık talebi doğrultusunda oluşturulmuş olup çok disiplinli bir bakış açısıyla yürütülmektedir. Program 2022-2023 eğitim öğretim yılında öğrenci alımına başlamıştır. Bu dönemden itibaren programa kayıt yapan toplam öğrenci sayısı 387’dir. Program bünyesinde halihazırda 59 öğrenci öğrenim görmektedir. Programda Eğitim Bilimleri Ana Bilim dalında görev yapan 3 profesör ve 1 doçent aktif olarak ders vermektedir.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Ders içerikleri bilimsel araştırma, danışmanlık kuramları ve uygulama temelli eğitimlerle desteklenmekte; dönem projesi ise öğrencilerin bağımsız bir çalışma yürüterek alanla ilgili derinlemesine analiz yapmalarına imkân tanımaktadır.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Tezli/Tezsiz Eğitim Programları Ve Öğretim Bilim Dalı Yüksek Lisans Programı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27.07.2021 yılında faaliyete giren Eğitim Programları ve Öğretim yüksek lisans programı günümüzde eğitim ve öğretim hayatına devam etmektedir. 2025-2026 akademik yılı itibarıyle yüksek lisans programında devam eden 59 öğrenci bulunmaktadır. Program, programı yürütmekte sorumlu olan güçlü bir akademik kadroya sahiptir. Ayrıca, EPÖ YL programın aktif lisans programı olmaması nedeniyle öğrenci alımı farklı disiplinlerden olmaktadır. Bu kapsamda, Eğitim Fakültesi programları başta olmak üzere, lisans programlarının farklı alanlarından başvurular olmaktadır. Böylece, hem Milli Eğitim Bakanlığı resmi eğitim uygulamalarına/programlarına yönelik bilim uzmanı yetiştirme, hem de sanayinin ihtiyaç duyacağı eğitim programlarını geliştirmeye yönelik bilim uzmanı yetiştirme imkânına sahip olunmaktadır. Ana Bilim Dalımızda 1 Profesör( Savaş KARAGÖZ), 3 Doçent( Yalçın Dilekli, Şenol ORAKÇI, M. Emir RÜZGAR), 2 Doktor öğretim üyesi( Serkan BOYRAZ, Özlem YILDIRIM TAŞTI) olmak üzere 6 öğretim elemanı görev almaktadır.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Default="005157DD" w:rsidP="005157DD">
      <w:pPr>
        <w:spacing w:after="0" w:line="240" w:lineRule="auto"/>
        <w:jc w:val="both"/>
        <w:rPr>
          <w:rFonts w:ascii="Calibri Light" w:eastAsia="Times New Roman" w:hAnsi="Calibri Light" w:cs="Calibri Light"/>
          <w:b/>
          <w:bCs/>
          <w:color w:val="464E5F"/>
          <w:lang w:eastAsia="tr-TR"/>
        </w:rPr>
      </w:pP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lastRenderedPageBreak/>
        <w:t>Tezli Eğitim Eğitim Yönetimi Bilim Dalı Yüksek Lisans Programı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Eğitim Yönetimi Bilim Dalı Yüksek lisans düzeyinde 2022 yılından itibaren EY Tezli YL programı kapsamında öğretim elemanı başına ortalama altı ders saatine ek olarak tez danışmanlıkları üstlenilmektedir. Bir öğretim elemanına düşen dönemsel ortalama ders yükü 32 ders saatidir (https://obs.aksaray.edu.tr/oibs/acd/login.aspx). Bu iş yüküne ek olarak başka üniversitelerden gelen taleplere bağlı olarak Doktora Tez İzleme üyeliği, tez savunma üyeliği, TÜBİTAK Değerlendirme faaliyetlerine katılım, dergi hakemlikleri gibi etkinlikler de vurgulanabilir.  EY BD aşağıdaki insan kaynağına sahiptir. İnsan kaynağının nitelikleri hakkında detaylı bilgi ve öz geçmiş bilgilerine https://ey.aksaray.edu.tr/Akademik-Personel sayfasından erişilebilir.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Doç. Dr. Şenyurt YENİPINAR (ABD Başkanı), Prof. Dr. Kamil YILDIRIM,Doç. Doç.Dr. Burcu YAVUZ TABAK, Doç. Dr. Coşkun ERDAĞ ve Arş. Gör. İbrahim SÖZCÜ</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Tezli Öğretim Teknolojileri Bilim Dalı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03.09.2025 tarihinde açılan Öğretim Teknolojileri yüksek lisans programı 2025-2026 Bahar yarıyılından itibaren öğrenci almayı planlamaktadır. Program, programı yürütmekte sorumlu olan güçlü bir akademik kadroya sahiptir. Öğretim Teknolojileri YL programın aktif lisans programı olmaması nedeniyle öğrenci alımı farklı disiplinlerden olmaktadır. Bu kapsamda, Eğitim Fakültesi programları başta olmak üzere, lisans programlarının farklı alanlarından başvurular almayı hedeflemektedir. Böylece, hem Milli Eğitim Bakanlığı resmi eğitim uygulamalarına/programlarına yönelik bilim uzmanı, hem de kurumların teknoloji entegrasyonu ve teknoloji destekli personel eğitimlerinde ihtiyaç duyacağı öğretim teknologları yetiştirilebilecektir.</w:t>
      </w:r>
    </w:p>
    <w:p w:rsid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Anabilim dalında Öğretim Teknolojileri alanında 4 öğretim üyesi (Doç. Dr.) görev yapmaktadır.</w:t>
      </w:r>
    </w:p>
    <w:p w:rsidR="005157DD" w:rsidRPr="005157DD" w:rsidRDefault="005157DD" w:rsidP="005157DD">
      <w:pPr>
        <w:shd w:val="clear" w:color="auto" w:fill="FFFFFF"/>
        <w:spacing w:after="0" w:line="240" w:lineRule="auto"/>
        <w:rPr>
          <w:rFonts w:ascii="Times New Roman" w:eastAsia="Times New Roman" w:hAnsi="Times New Roman" w:cs="Times New Roman"/>
          <w:color w:val="464E5F"/>
          <w:sz w:val="24"/>
          <w:szCs w:val="24"/>
          <w:lang w:eastAsia="tr-TR"/>
        </w:rPr>
      </w:pPr>
      <w:r w:rsidRPr="005157DD">
        <w:rPr>
          <w:rFonts w:ascii="Times New Roman" w:eastAsia="Times New Roman" w:hAnsi="Times New Roman" w:cs="Times New Roman"/>
          <w:b/>
          <w:bCs/>
          <w:color w:val="464E5F"/>
          <w:sz w:val="24"/>
          <w:szCs w:val="24"/>
          <w:lang w:eastAsia="tr-TR"/>
        </w:rPr>
        <w:t>Kanıtlar</w:t>
      </w:r>
    </w:p>
    <w:p w:rsidR="005157DD" w:rsidRPr="005157DD" w:rsidRDefault="005157DD" w:rsidP="005157DD">
      <w:pPr>
        <w:shd w:val="clear" w:color="auto" w:fill="FFFFFF"/>
        <w:spacing w:after="0" w:line="240" w:lineRule="auto"/>
        <w:rPr>
          <w:rFonts w:ascii="Times New Roman" w:eastAsia="Times New Roman" w:hAnsi="Times New Roman" w:cs="Times New Roman"/>
          <w:color w:val="464E5F"/>
          <w:sz w:val="24"/>
          <w:szCs w:val="24"/>
          <w:lang w:eastAsia="tr-TR"/>
        </w:rPr>
      </w:pPr>
      <w:hyperlink r:id="rId9" w:history="1">
        <w:r w:rsidRPr="005157DD">
          <w:rPr>
            <w:rFonts w:ascii="Times New Roman" w:eastAsia="Times New Roman" w:hAnsi="Times New Roman" w:cs="Times New Roman"/>
            <w:color w:val="0073E9"/>
            <w:sz w:val="24"/>
            <w:szCs w:val="24"/>
            <w:u w:val="single"/>
            <w:lang w:eastAsia="tr-TR"/>
          </w:rPr>
          <w:t>https://sbe.aksaray.edu.tr/anabilim-dallari</w:t>
        </w:r>
      </w:hyperlink>
    </w:p>
    <w:p w:rsidR="005157DD" w:rsidRPr="005157DD" w:rsidRDefault="005157DD" w:rsidP="005157DD">
      <w:pPr>
        <w:shd w:val="clear" w:color="auto" w:fill="FFFFFF"/>
        <w:spacing w:after="0" w:line="240" w:lineRule="auto"/>
        <w:rPr>
          <w:rFonts w:ascii="Times New Roman" w:eastAsia="Times New Roman" w:hAnsi="Times New Roman" w:cs="Times New Roman"/>
          <w:color w:val="464E5F"/>
          <w:sz w:val="24"/>
          <w:szCs w:val="24"/>
          <w:lang w:eastAsia="tr-TR"/>
        </w:rPr>
      </w:pPr>
      <w:hyperlink r:id="rId10" w:history="1">
        <w:r w:rsidRPr="005157DD">
          <w:rPr>
            <w:rFonts w:ascii="Times New Roman" w:eastAsia="Times New Roman" w:hAnsi="Times New Roman" w:cs="Times New Roman"/>
            <w:color w:val="3699FF"/>
            <w:sz w:val="24"/>
            <w:szCs w:val="24"/>
            <w:lang w:eastAsia="tr-TR"/>
          </w:rPr>
          <w:t>https://epo.aksaray.edu.tr/</w:t>
        </w:r>
      </w:hyperlink>
    </w:p>
    <w:p w:rsidR="005157DD" w:rsidRPr="005157DD" w:rsidRDefault="005157DD" w:rsidP="005157DD">
      <w:pPr>
        <w:shd w:val="clear" w:color="auto" w:fill="FFFFFF"/>
        <w:spacing w:after="0" w:line="240" w:lineRule="auto"/>
        <w:rPr>
          <w:rFonts w:ascii="Times New Roman" w:eastAsia="Times New Roman" w:hAnsi="Times New Roman" w:cs="Times New Roman"/>
          <w:color w:val="464E5F"/>
          <w:sz w:val="24"/>
          <w:szCs w:val="24"/>
          <w:lang w:eastAsia="tr-TR"/>
        </w:rPr>
      </w:pPr>
      <w:hyperlink r:id="rId11" w:history="1">
        <w:r w:rsidRPr="005157DD">
          <w:rPr>
            <w:rFonts w:ascii="Times New Roman" w:eastAsia="Times New Roman" w:hAnsi="Times New Roman" w:cs="Times New Roman"/>
            <w:color w:val="3699FF"/>
            <w:sz w:val="24"/>
            <w:szCs w:val="24"/>
            <w:lang w:eastAsia="tr-TR"/>
          </w:rPr>
          <w:t>https://ep</w:t>
        </w:r>
        <w:r w:rsidRPr="005157DD">
          <w:rPr>
            <w:rFonts w:ascii="Times New Roman" w:eastAsia="Times New Roman" w:hAnsi="Times New Roman" w:cs="Times New Roman"/>
            <w:color w:val="3699FF"/>
            <w:sz w:val="24"/>
            <w:szCs w:val="24"/>
            <w:lang w:eastAsia="tr-TR"/>
          </w:rPr>
          <w:t>o.aksaray.edu.tr/Akademik-Personel</w:t>
        </w:r>
      </w:hyperlink>
    </w:p>
    <w:p w:rsidR="005157DD" w:rsidRPr="005157DD" w:rsidRDefault="005157DD" w:rsidP="005157DD">
      <w:pPr>
        <w:shd w:val="clear" w:color="auto" w:fill="FFFFFF"/>
        <w:spacing w:after="0" w:line="240" w:lineRule="auto"/>
        <w:rPr>
          <w:rFonts w:ascii="Times New Roman" w:eastAsia="Times New Roman" w:hAnsi="Times New Roman" w:cs="Times New Roman"/>
          <w:color w:val="464E5F"/>
          <w:sz w:val="24"/>
          <w:szCs w:val="24"/>
          <w:lang w:eastAsia="tr-TR"/>
        </w:rPr>
      </w:pPr>
      <w:r w:rsidRPr="005157DD">
        <w:rPr>
          <w:rFonts w:ascii="Times New Roman" w:eastAsia="Times New Roman" w:hAnsi="Times New Roman" w:cs="Times New Roman"/>
          <w:color w:val="464E5F"/>
          <w:sz w:val="24"/>
          <w:szCs w:val="24"/>
          <w:lang w:eastAsia="tr-TR"/>
        </w:rPr>
        <w:t> </w:t>
      </w:r>
    </w:p>
    <w:p w:rsidR="005157DD" w:rsidRPr="005157DD" w:rsidRDefault="005157DD" w:rsidP="00B87529">
      <w:pPr>
        <w:numPr>
          <w:ilvl w:val="0"/>
          <w:numId w:val="3"/>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Eğitim Bilimleri Ana Bilim Dalının</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Vizyonu;</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Rehberlik ve Psikolojik Danışmanlık Tezli Yüksek Lisans Programının vizyonu, bireylerin bedensel, zihinsel, sosyal ve duygusal tüm potansiyellerini, ilgi ve yetenekleri doğrultusunda en üst seviyede geliştirmelerine katkı sağlayarak, ülkemizi uluslararası alanda başarılarla temsil edecek bireylerin yetişmesine destek olmaktır.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Eğitim-öğretim-öğrenme ve eğitim programları alanında akademik ve araştırma donanımları güçlü bilim uzmanları yetiştirerek, alanın ve sahanın ihtiyaç duyduğu bilimsel bilgiyi üretmek ve bilimsel rekabette ön sıralarda yer almak hedeflenmektedir.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Öğretim teknolojileri alanında disiplinler arası bir yaklaşımla, ulusal ve uluslararası düzeyde tanınan, yenilikçi ve bilimsel araştırmalara öncülük eden, toplumsal ihtiyaçlara duyarlı, nitelikli insan kaynağı yetiştiren bir program olmak.</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Misyonu;</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Rehberlik ve Psikolojik Danışmanlık Tezli Yüksek Lisans Programının misyonu, kültürel, ekonomik ve teknolojik dönüşümleri anlayarak bu değişimlere öncülük edebilecek, ülkenin gelişim ihtiyaçlarına duyarlı, etik değerleri rehber edinmiş, yenilikçi ve bilimsel araştırma süreçlerinde etkin rol üstlenen, yetkin uzman psikolojik danışmanlar yetiştirmektir.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Öğretim ve araştırma alanlarındaki sorumluluklarına ek olarak EPÖ YL programı öğrencilerinin bölgesel, ulusal ve uluslararası çalışmaları ile özellikle eğitim kurum ve kuruluşları olmak üzere genel olarak topluma ve eğitim paydaşlarına hizmet sunmayı amaçlamaktadır. Bu çerçevede EPÖ YL programı ile Milli Eğitim Bakanlığı'nın çeşitli birimlerindeki liderlik ve uzmanlık pozisyonları için bireyler yetiştirmeyi ve dolayısıyla Türk Eğitim Sistemi'nin geleceğine önemli katkılarda bulunmayı hedeflemektedir.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lastRenderedPageBreak/>
        <w:t>Farklı disiplinlerden gelen öğrencilere, eğitim teknolojileri alanında bilimsel araştırma yetkinliği kazandırmak; Milli Eğitim Bakanlığı'nın resmi eğitim uygulamalarına ve programlarına yönelik bilim uzmanı yetiştirmek; kamu ve özel sektör kurumlarının teknoloji entegrasyonu ve teknoloji destekli personel eğitimi ihtiyaçlarını karşılayabilecek öğretim teknologları yetiştirmek; disiplinler arası işbirliği ve akademik mükemmellik anlayışıyla eğitim teknolojileri alanında bilgi üretimi ve uygulamalı çözümler sunmak.</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Eğitim Bilimleri Ana Bilim Dalının  vizyon ve misyonunu oluşturan temel amaçlar;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Türk Eğitim Sistemi'ndeki teori ve uygulamaya yönelik sorunları anlamlı ve titiz bir bilimsel araştırma süreci gerçekleştiren bireyler yetiştirmek, öğretim ve araştırma alanlarındaki sorumluluklarına ek olarak bölgesel, ulusal ve uluslararası çalışmaları ile özellikle eğitim kurum ve kuruluşları olmak üzere, genel olarak topluma ve eğitim paydaşlarına hizmet sunmayı amaçlamaktadır.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Eğitim Bilimleri Ana Bilim Dalının  vizyon ve misyonunu oluşturan temel değerler;</w:t>
      </w:r>
    </w:p>
    <w:p w:rsidR="005157DD" w:rsidRPr="005157DD" w:rsidRDefault="005157DD" w:rsidP="00B87529">
      <w:pPr>
        <w:numPr>
          <w:ilvl w:val="0"/>
          <w:numId w:val="4"/>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Atatürk İlke ve İnkılaplarına bağlı olmak,</w:t>
      </w:r>
    </w:p>
    <w:p w:rsidR="005157DD" w:rsidRPr="005157DD" w:rsidRDefault="005157DD" w:rsidP="00B87529">
      <w:pPr>
        <w:numPr>
          <w:ilvl w:val="0"/>
          <w:numId w:val="4"/>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Vatan sevgisiyle görevini anayasa, uluslararası hukuk ilkeleri, insan hakları ve yüksek öğretim mevzuatıyla ilgili tüm yasal düzenlemelere uyarak yerine getirmek,</w:t>
      </w:r>
    </w:p>
    <w:p w:rsidR="005157DD" w:rsidRPr="005157DD" w:rsidRDefault="005157DD" w:rsidP="00B87529">
      <w:pPr>
        <w:numPr>
          <w:ilvl w:val="0"/>
          <w:numId w:val="4"/>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Din, dil, ırk, milliyet, renk, düşünce farklılığı gözetmeksizin insanları sevmek ve saymak,</w:t>
      </w:r>
    </w:p>
    <w:p w:rsidR="005157DD" w:rsidRPr="005157DD" w:rsidRDefault="005157DD" w:rsidP="00B87529">
      <w:pPr>
        <w:numPr>
          <w:ilvl w:val="0"/>
          <w:numId w:val="4"/>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Çalışmaktan, doğruluktan ve dürüstlükten taviz vermemek,</w:t>
      </w:r>
    </w:p>
    <w:p w:rsidR="005157DD" w:rsidRPr="005157DD" w:rsidRDefault="005157DD" w:rsidP="00B87529">
      <w:pPr>
        <w:numPr>
          <w:ilvl w:val="0"/>
          <w:numId w:val="4"/>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Üniversitenin misyon ve vizyonuna bağlı olmak,</w:t>
      </w:r>
    </w:p>
    <w:p w:rsidR="005157DD" w:rsidRPr="005157DD" w:rsidRDefault="005157DD" w:rsidP="00B87529">
      <w:pPr>
        <w:numPr>
          <w:ilvl w:val="0"/>
          <w:numId w:val="4"/>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Yenilikçi olmak, değişimi yönetmek ve gerçekleştirmek,</w:t>
      </w:r>
    </w:p>
    <w:p w:rsidR="005157DD" w:rsidRPr="005157DD" w:rsidRDefault="005157DD" w:rsidP="00B87529">
      <w:pPr>
        <w:numPr>
          <w:ilvl w:val="0"/>
          <w:numId w:val="4"/>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Kurumsal bağlılığa, kurum içinde uzlaşı ve dayanışmaya önem vermek,</w:t>
      </w:r>
    </w:p>
    <w:p w:rsidR="005157DD" w:rsidRPr="005157DD" w:rsidRDefault="005157DD" w:rsidP="00B87529">
      <w:pPr>
        <w:numPr>
          <w:ilvl w:val="0"/>
          <w:numId w:val="4"/>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Mesleki adanmışlık ve özgün araştırmalar yapmak,</w:t>
      </w:r>
    </w:p>
    <w:p w:rsidR="005157DD" w:rsidRPr="005157DD" w:rsidRDefault="005157DD" w:rsidP="00B87529">
      <w:pPr>
        <w:numPr>
          <w:ilvl w:val="0"/>
          <w:numId w:val="4"/>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Sürdürülebilir rekabet avantajı sağlamak</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Kanıtlar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12" w:history="1">
        <w:r w:rsidRPr="005157DD">
          <w:rPr>
            <w:rFonts w:ascii="Calibri Light" w:eastAsia="Times New Roman" w:hAnsi="Calibri Light" w:cs="Calibri Light"/>
            <w:color w:val="3699FF"/>
            <w:lang w:eastAsia="tr-TR"/>
          </w:rPr>
          <w:t>https://sbe.aksaray.edu.tr/anabilim-dallari</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13" w:history="1">
        <w:r w:rsidRPr="005157DD">
          <w:rPr>
            <w:rFonts w:ascii="Calibri Light" w:eastAsia="Times New Roman" w:hAnsi="Calibri Light" w:cs="Calibri Light"/>
            <w:color w:val="3699FF"/>
            <w:lang w:eastAsia="tr-TR"/>
          </w:rPr>
          <w:t>https://epo.aksaray.edu.tr/</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14" w:history="1">
        <w:r w:rsidRPr="005157DD">
          <w:rPr>
            <w:rFonts w:ascii="Calibri Light" w:eastAsia="Times New Roman" w:hAnsi="Calibri Light" w:cs="Calibri Light"/>
            <w:color w:val="3699FF"/>
            <w:lang w:eastAsia="tr-TR"/>
          </w:rPr>
          <w:t>https://epo.aksaray.edu.tr/Akademik-Personel</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B87529">
      <w:pPr>
        <w:numPr>
          <w:ilvl w:val="0"/>
          <w:numId w:val="5"/>
        </w:numPr>
        <w:spacing w:before="100" w:beforeAutospacing="1" w:after="0" w:line="240" w:lineRule="auto"/>
        <w:ind w:left="532"/>
        <w:jc w:val="both"/>
        <w:rPr>
          <w:rFonts w:ascii="Calibri Light" w:eastAsia="Times New Roman" w:hAnsi="Calibri Light" w:cs="Calibri Light"/>
          <w:b/>
          <w:bCs/>
          <w:i/>
          <w:iCs/>
          <w:color w:val="464E5F"/>
          <w:lang w:eastAsia="tr-TR"/>
        </w:rPr>
      </w:pPr>
      <w:bookmarkStart w:id="2" w:name="_TOC_250015"/>
      <w:r w:rsidRPr="005157DD">
        <w:rPr>
          <w:rFonts w:ascii="Calibri Light" w:eastAsia="Times New Roman" w:hAnsi="Calibri Light" w:cs="Calibri Light"/>
          <w:b/>
          <w:bCs/>
          <w:i/>
          <w:iCs/>
          <w:color w:val="464E5F"/>
          <w:lang w:eastAsia="tr-TR"/>
        </w:rPr>
        <w:t>LİDERLİK ve </w:t>
      </w:r>
      <w:bookmarkEnd w:id="2"/>
      <w:r w:rsidRPr="005157DD">
        <w:rPr>
          <w:rFonts w:ascii="Calibri Light" w:eastAsia="Times New Roman" w:hAnsi="Calibri Light" w:cs="Calibri Light"/>
          <w:b/>
          <w:bCs/>
          <w:i/>
          <w:iCs/>
          <w:color w:val="464E5F"/>
          <w:lang w:eastAsia="tr-TR"/>
        </w:rPr>
        <w:t>KALİTE</w:t>
      </w:r>
    </w:p>
    <w:p w:rsidR="005157DD" w:rsidRPr="005157DD" w:rsidRDefault="005157DD" w:rsidP="005157DD">
      <w:pPr>
        <w:spacing w:after="0"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Eğitim Bilimleri Anabilim Dalı, stratejik yönetim sürecinin bir unsuru olarak kalite güvencesi politikalarının oluşturulması, uygulanması, izlenmesi ve sürekli iyileştirilmesi süreçlerini sistematik bir biçimde yürütmektedir. Bu kapsamda bölüm, benimsediği misyon, vizyon ve değerler doğrultusunda, alanında yetkin ve nitelikli bireyler yetiştirmeyi temel hedef olarak belirlemiştir ve bunu internet sitesi aracılığıyla iç ve dış paydaşlara duyurmuştur (Kanıt A.1.1).</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Ayrıca, hem öğretim elemanlarının mesleki ve akademik gelişimine katkı sağlamak hem de öğrencilere çağdaş, bilimsel temellere dayalı ve etkili bir öğrenme ortamı sunulmasına hizmet etmek amacıyla akademik kadronun ulusal ve uluslararası düzeyde nitelikli bilimsel çalışmalar yürütmeleri teşvik edilmekte; kongre, sempozyum ve benzeri akademik etkinliklere katılımları desteklenmektedir.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Anabilim dalındaki kalite kültürünün gelişimini ölçmek ve izlemek amacıyla anabilim dalı başkanı ve öğretim elemanlarından ve öğrenci temsilcisinden oluşan Kalite Komisyonu tanımlıdır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Süreç, düzenli değerlendirme ve geri bildirim mekanizmaları aracılığıyla izlenmekte; elde edilen veriler, kaliteyi sürekli artırmaya yönelik iyileştirme çalışmaları için temel veri kaynağı olarak kullanılmaktadır. Bölümde Dış paydaş ve mezun olanların görüşleri de alınarak yönetişim anlayışı uygulamaya aktarılmaktadır.</w:t>
      </w:r>
    </w:p>
    <w:p w:rsidR="005157DD" w:rsidRPr="005157DD" w:rsidRDefault="005157DD" w:rsidP="00B87529">
      <w:pPr>
        <w:numPr>
          <w:ilvl w:val="2"/>
          <w:numId w:val="6"/>
        </w:numPr>
        <w:spacing w:before="100" w:beforeAutospacing="1" w:after="0" w:line="240" w:lineRule="auto"/>
        <w:ind w:left="1972"/>
        <w:jc w:val="both"/>
        <w:rPr>
          <w:rFonts w:ascii="Calibri Light" w:eastAsia="Times New Roman" w:hAnsi="Calibri Light" w:cs="Calibri Light"/>
          <w:b/>
          <w:bCs/>
          <w:color w:val="464E5F"/>
          <w:lang w:eastAsia="tr-TR"/>
        </w:rPr>
      </w:pPr>
      <w:r w:rsidRPr="005157DD">
        <w:rPr>
          <w:rFonts w:ascii="Calibri Light" w:eastAsia="Times New Roman" w:hAnsi="Calibri Light" w:cs="Calibri Light"/>
          <w:b/>
          <w:bCs/>
          <w:color w:val="464E5F"/>
          <w:lang w:eastAsia="tr-TR"/>
        </w:rPr>
        <w:t>Yönetişim modeli ve idari yapı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Eğitim Bilimleri Ana Bilim Dalında, Liderlik yönünden kurumda belirli yasa ve mevzuat doğrultusunda oluşturulan süreçler doğrultusunda sistematikbir yapıya sahiptir.  Bu süreçler çevik bir liderlik yaklaşımıyla yönetilmektedir. Birimlerde liderlik anlayışı ve koordinasyon kültürü yerleşmiştir. Liderler kurumun değerleri ve hedefleri doğrultusunda stratejilerinin yanı sıra; yetki paylaşımını, ilişkileri, zamanı, kurumsal motivasyon ve stresi de etkin ve dengeli biçimde yönetmektedir.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lastRenderedPageBreak/>
        <w:t> Eğitim Bilimleri Ana Bilim Dalı, liderlik yaklaşımı kapsamında farklı zaman ve koşullarda farklı kişiler liderlik üstlenmektedir. Demokratik anlayış ve şeffaflık ilkeleri temelinde öğrenci gelişimine hizmet edecek faaliyetler öğretim elemanlarının girişimleriyle gerçekleştirilebilmektedir.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Anabilim dalındaki yönetişim modeli ve idari yapı (yasal düzenlemeler çerçevesinde kurumsal yaklaşım, gelenekler, tercihler); karar verme mekanizmaları, kontrol ve denge unsurları; kurulların çok sesliliği ve bağımsız hareket kabiliyeti, paydaşların temsil edilmesi; öngörülen yönetişim modeli ile gerçekleşmenin karşılaştırılması, modelin kurumsallığı ve sürekliliği yerleşmiş ve benimsenmiştir. Bu durum, anabilim dalı yönetimi tarafından yürütülen ders dağılımı, ders programı oluşturulması, ders içeriklerinin güncellenmesi vb. süreçlerde tüm ilgililerin sürece dahil edilmesini sağlayan toplantı davetlerinde ve bu toplantılara katılan herkesin sürece katkı sağladığını gösteren kararlarda görülmektedir.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Eğitim Bilimleri Ana Bilim Dalında, eğitim-öğretim, araştırma, toplumsal katkı ve hizmet alanlarında şeffaf ve hesap verebilir bir kurum olma vizyonuna ulaşmak amacıyla, kalite odaklı ve sürdürülebilir bir yönetim sistemi yapısını benimsemektedir. Bu bağlamda, nitelikli akademik ve idari personel istihdam etmeye yönelik politikaları uygulanmaktadır. Paydaş memnuniyetini temin etmek ve iç ve dış paydaşların beklentilerini karşılamak için sürekli çaba sarf edilmektedir.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Dalının vizyon, misyon ve politikalarının açık olarak belirlenmesi ve kurum çalışanları ile paylaşılmasının yanı sıra misyon, vizyon ve politikalar doğrultusunda gerçekleştirilen uygulamaların olması birimin güçlü yönleri içinde sayılabilir.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Yönetim politikasının etkili bir biçimde hayata geçirilmesi ve idari yapılanmanın sağlam temellere oturtulması amacıyla çeşitli kurullar, komisyonlar ve koordinasyon birimleri oluşturulmuştur. Bu birimlerin üyelerinin üstlenecekleri görev ve sorumluluklar, kapsamlı ve ayrıntılı bir biçimde tanımlanmıştır. Söz konusu görev ve sorumluluklara dair detaylı bilgilere, ilgili birimlerin resmi internet sayfaları üzerinden erişim sağlanabilmektedir( Birim komisyonları eklenecek).</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Bölüm, Aksaray Üniversitesinin 2025-2029 Stratejik Planı doğrultusunda eğitim öğretim faaliyetlerini devam ettirmektedir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15" w:history="1">
        <w:r w:rsidRPr="005157DD">
          <w:rPr>
            <w:rFonts w:ascii="Calibri Light" w:eastAsia="Times New Roman" w:hAnsi="Calibri Light" w:cs="Calibri Light"/>
            <w:color w:val="3699FF"/>
            <w:lang w:eastAsia="tr-TR"/>
          </w:rPr>
          <w:t>https://ogris.aksaray.edu.tr/dosya/11b94cdb-e09e-43e9-b931-e8d829acf6b7.pdf</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yönetişim modeli ve organizasyonel yapılanması birim ve alanların genelini kapsayacak şekilde faaliyet göstermektedir.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A.1.2. Liderlik</w:t>
      </w:r>
    </w:p>
    <w:p w:rsidR="005157DD" w:rsidRPr="005157DD" w:rsidRDefault="005157DD" w:rsidP="00B87529">
      <w:pPr>
        <w:numPr>
          <w:ilvl w:val="2"/>
          <w:numId w:val="7"/>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Liderlik</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Eğitim Bilimleri Ana Bilim Dalında,  kalite güvencesi kültürünü oluşturmak ve kurum içi iletişimi güçlendirmek için yapılan uygulamalar gün geçtikçe artmaktadır. Birimde kalite güvencesi anlayışının yaygınlaştırılması için büyük bir çaba bulunmaktadır. Bu bağlamda hızlı karar alabilen ve sürekli iyileştirmeye odaklanan bir yönetim anlayışı benimsenmiştir. Ana Bilim Dalı, kurumun stratejik hedefleri ve kalite politikalarıyla uyumlu biçimde hareket etmekte; karar alma ve uygulama süreçlerini çevik, katılımcı ve veri temelli bir liderlik anlayışıyla yürütmektedir. Anabilim Dalı’nda liderlik, koordinasyon ve iletişim kültürü kurumsal düzeyde yerleşmiştir. ABD yönetimi, kurumun değerleri ve hedefleri doğrultusunda sadece eğitim–öğretim ve araştırma stratejilerini değil; aynı zamanda yetki paylaşımı, zaman yönetimi, kurumsal motivasyon ve stres yönetimi gibi süreçleri de dengeli ve etkin biçimde yönetmektedir.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Akademik personel ile ABD yönetimi arasında etkin bir iletişim ve geri bildirim ağı oluşturulmuştur. Karar alma süreçlerinde öğretim elemanlarının ve öğrencilerin görüşleri düzenli olarak alınmakta; bu görüşler kalite iyileştirme planlarına yansıtılmaktadır. Anabilim Dalı’nda liderlik süreçleri ve kalite güvencesi kültürünün içselleştirilme düzeyi, düzenli öz değerlendirme, paydaş geri bildirimi ve izleme toplantıları aracılığıyla sürekli olarak değerlendirilmektedir. Elde edilen bulgular, süreçlerin sürekli iyileştirilmesi ve kurumsal öğrenmenin desteklenmesi amacıyla kullanılmaktadır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3 - 3. Kurumun geneline yayılmış, kalite güvencesi sistemi ve kültürünün gelişimini destekleyen etkin liderlik uygulamaları bulunmaktadır.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lastRenderedPageBreak/>
        <w:t>A.1.3. Kurumsal dönüşüm kapasitesi</w:t>
      </w:r>
    </w:p>
    <w:p w:rsidR="005157DD" w:rsidRPr="005157DD" w:rsidRDefault="005157DD" w:rsidP="00B87529">
      <w:pPr>
        <w:numPr>
          <w:ilvl w:val="2"/>
          <w:numId w:val="8"/>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Kurumsal dönüşüm kapasitesi</w:t>
      </w:r>
      <w:bookmarkStart w:id="3" w:name="_GoBack"/>
      <w:bookmarkEnd w:id="3"/>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 gelişen ve değişen bilim, teknoloji ve ihityçlar doğrultusunda çalışmalarına devam etmekte olup bu konuda imkanlar dahilinde seminerlere katılım, yayın yapma ve dış paydaşlara yönelik faaliyetler düzenlemektedir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Dalında, kurumsal dönüştüm çalışmalarının, dar kapsamlı olduğu; kurum geneline yayılmış, süreklilik arz eder biçimde, bütüncül olarak yürütülemediği ve bu boyutun geliştirilmesi için izleme ve geliştirme çalışmalarının devam ettirilmesinin gereği üzerine üst yönetimin desteğinin sağlanması amaçlanmaktadır.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Dalında, değişim ihtiyacı konusunda farkındalık bulunmakla birlikte, Kurumu dönüştürmek üzere değişimin nasıl yönetileceği, bu konuda bir model ve yaklaşımının olup olmadığı, süreçte yapılan kıyaslamalar, uygulama örnekleri gibi birimin kurumsal dönüşüm kapasitesine dair rapor vb. somut uygulama kanıtları oluşturulamamıştır.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Standart uygulamalar ve mevzuatın yanı sıra; birimin ihtiyaçları doğrultusunda geliştirdiği özgün yaklaşım ve uygulamalarına ilişkin kanıtlar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Kurumda değişim yönetimi yaklaşımı kurumun geneline yayılmış ve bütüncül olarak yürütülmektedir.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A.1.4. İç kalite güvencesi mekanizmaları</w:t>
      </w:r>
    </w:p>
    <w:p w:rsidR="005157DD" w:rsidRPr="005157DD" w:rsidRDefault="005157DD" w:rsidP="00B87529">
      <w:pPr>
        <w:numPr>
          <w:ilvl w:val="2"/>
          <w:numId w:val="9"/>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İç kalite güvencesi mekanizmaları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Dalında, Kalite güvencesi rehberi gibi tanımlı süreç belgeleri, Kalite Komisyonu çalışma usul ve esasları, İş akış şemaları, takvim, görev ve sorumluluklar ve paydaşların rollerini gösteren kanıtlar tanımlıdır. Bu süreçlerde üretilen raporlar ve toplantı tutanakları, iyileştirme faaliyetlerine kanıt teşkil etmektedir Birim kalite süreçlerinin yürütülmesinde, Aksaray Üniversitesi Kalite Komisyonu, Kalite Koordinatörlüğü, Eğitim-Öğretim Çalışma Grubu, Araştırma-Geliştirme Çalışma Grubu,Yönetim Sistemi Çalışma Grubu,Toplumsal Katkı Çalışma Grubu,Uzaktan Eğitim Çalışma Grubu ve Risk Yönetim Grubu gibi komisyonlarda alınan kararlar doğrultusunda hareket etmektedir.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 ayrıca, Akran değerlendirme, Kap raporları, iç ve dış paydaşlardan alınan geri dönütler doğrultusunda süreci takip etmektedir. Birim öğretim üyeleri sürece katkı sunmak amacıyla, ABD Kalite Komisyonu, iç kalite güvencesi sisteminin oluşturulması, geliştirilmesi ve program akreditasyonu çalışmalarında aktif rol almakta, elde edilen değerlendirme sonuçlarını karar alma süreçlerine yansıtarak sürekli iyileştirme kültürünü desteklemektedir. Bu çerçevede özellikle (1) eğitim-öğretim kalitesinin geliştirilmesi ile (2) bilimsel araştırmaların kalitesini artırmak ve sürdürülebilir kılmak amaçları doğrultusunda öğrenci gelişimine katkı sağlayacak şekilde öğretimi düzenlemek ve bilimsel yayın kalitesinin göstergesi olan SSCI ve alan indekslerinde taranan dergilerdeki yayın sayısının artmasına çaba harcanmaktadır.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Birim kapsamında faaliyetlerin gerçekleştirilmesinde ASU Eğitim-Öğretim ve Sınav Yönetmelikleri (https://ogris.aksaray.edu.tr/Mevzuat, https://sbe.aksaray.edu.tr/mevzuat) başta olmak üzere yasal düzenlemelere uyulmaktadır. Kurumsallaşma kapsamında kültürel norm ve kodlar oluşturulmaktadır. Örneğin seminer çalışması bütün öğretim elemanları ve ders dönemindeki öğrencilerin katılımıyla gerçekleştirilmektedir. Tez savunmalarına dış paydaşlar dâhil henüz ders dönemindeki öğrencilerin katılımı teşvik edilmekte ve sağlanmaktadır.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w:t>
      </w:r>
      <w:r w:rsidRPr="005157DD">
        <w:rPr>
          <w:rFonts w:ascii="Calibri Light" w:eastAsia="Times New Roman" w:hAnsi="Calibri Light" w:cs="Calibri Light"/>
          <w:color w:val="464E5F"/>
          <w:lang w:eastAsia="tr-TR"/>
        </w:rPr>
        <w:t>: İç kalite güvencesi sistemi kurumun geneline yayılmış, şeffaf ve bütüncül olarak yürütülmektedir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İç kalite güvencesi sistemi kurumun geneline yayılmış, şeffaf ve bütüncül olarak yürütülmektedir.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A.1.5. Kamuoyunu bilgilendirme ve hesap verebilirlik</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Kamuoyunu bilgilendirme ve hesap verebilirlik</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lastRenderedPageBreak/>
        <w:t>Ana Biilim Dalı, topluma karşı sorumluluğunun gereği olarak, eğitim-öğretim, araştırma-geliştirme faaliyetlerini de içerecek şekilde tüm faaliyetleri ile ilgili verileri kamuoyuyla üniversitenin ve Enstitünün kurumsal web sitesi üzerinden kurumsal süreli yayınları aracılığıyla kamuoyuyla paylaşmaktadır. (Kanıt A.1.5.1).</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Biilim Dalı, bağlı olduğu fakülte vasıtasıyla, İç ve dış paydaşlara yönelik hesap verme mekanizmaları (faaliyet raporları, paydaş toplantıları, öğrenci geri bildirim sistemleri vb.) doğrultusunda ilan edilen takvimler çerçevesinde faaliyetlerini devam ettirmektedir. formal süreçler hakkında paydaşların bilgilendirilmesi, faaliyet raporlarının düzenlenmesi ve üst yönetsel birimlere gönderilmesi akademik takvim gereği Eğitim Fakültesi Dekanlığı ve Sosyal Bilimler Enstitüsü aracılığıyla yürütülmektedir.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Anabilim Dalı ayrıca, bölgesel paydaşlar, yerel yönetimler, diğer üniversiteler, kamu kurumları, sivil toplum kuruluşları, sanayi temsilcileri ve yerel halk ile etkileşim süreçlerini düzenli olarak analiz etmekte; bu ilişkilerden elde edilen verileri kurumsal gelişim ve toplumsal katkı faaliyetlerine entegre etmektedir.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 tanımlı süreçleri doğrultusunda kamuoyunu bilgilendirme ve hesap verebilirlik mekanizmalarını işletmektedir.</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A.2. Misyon ve Stratejik Amaçlar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A.2.1. Misyon, vizyon ve politikalar</w:t>
      </w:r>
    </w:p>
    <w:p w:rsidR="005157DD" w:rsidRPr="005157DD" w:rsidRDefault="005157DD" w:rsidP="00B87529">
      <w:pPr>
        <w:numPr>
          <w:ilvl w:val="1"/>
          <w:numId w:val="10"/>
        </w:numPr>
        <w:spacing w:before="100" w:beforeAutospacing="1" w:after="0" w:line="240" w:lineRule="auto"/>
        <w:ind w:left="1252"/>
        <w:jc w:val="both"/>
        <w:rPr>
          <w:rFonts w:ascii="Calibri Light" w:eastAsia="Times New Roman" w:hAnsi="Calibri Light" w:cs="Calibri Light"/>
          <w:color w:val="464E5F"/>
          <w:lang w:eastAsia="tr-TR"/>
        </w:rPr>
      </w:pPr>
      <w:bookmarkStart w:id="4" w:name="_TOC_250013"/>
      <w:r w:rsidRPr="005157DD">
        <w:rPr>
          <w:rFonts w:ascii="Calibri Light" w:eastAsia="Times New Roman" w:hAnsi="Calibri Light" w:cs="Calibri Light"/>
          <w:b/>
          <w:bCs/>
          <w:color w:val="464E5F"/>
          <w:lang w:eastAsia="tr-TR"/>
        </w:rPr>
        <w:t>MİSYON VE STRATEJİK </w:t>
      </w:r>
      <w:bookmarkEnd w:id="4"/>
      <w:r w:rsidRPr="005157DD">
        <w:rPr>
          <w:rFonts w:ascii="Calibri Light" w:eastAsia="Times New Roman" w:hAnsi="Calibri Light" w:cs="Calibri Light"/>
          <w:b/>
          <w:bCs/>
          <w:color w:val="464E5F"/>
          <w:lang w:eastAsia="tr-TR"/>
        </w:rPr>
        <w:t>AMAÇLAR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Birim, 2025 - 2029 Stratejik Planı kapsamında misyonu, vizyonu, stratejik amaç ve hedefleri tanımlanmıştır.</w:t>
      </w:r>
    </w:p>
    <w:p w:rsidR="005157DD" w:rsidRPr="005157DD" w:rsidRDefault="005157DD" w:rsidP="00B87529">
      <w:pPr>
        <w:numPr>
          <w:ilvl w:val="2"/>
          <w:numId w:val="11"/>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Misyon, vizyon ve politikalar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 misyon olarak, Millî Eğitim Bakanlığı ve Yükseköğretim Kurulu tarafından belirlenen ilkelere göre genel kültür, özel alan ve eğitme-öğretme bilgi, beceri ve alışkanlıkları kazanmış öğretmenler yetiştirmenin yanı sıra, bilimsel yaklaşımı, demokratik anlayışı, akademik üretimi, ülkemizde ve dünyada değişimlere uyum sağlamayı, ekip çalışması ve multidisipliner iletişim becerilerine sahip, eğitim teknolojilerini kullanabilen, toplumunun değerleriyle barışık, edebiyat, sanat, spor ve kültürel değerlere sahip çıkan, çeşitliliği bir zenginlik olarak gören, teori ile uygulamayı birleştiren, özgüveni ve hoşgörüsü olan, yaşam boyu öğrenmeyi ve kendini yenilemeyi ilke edinmiş, kendisiyle ve çevresiyle barışık, eleştirel düşünebilen ve düşüncesini üslubunca ifade edebilen, Türkçenin gelişmesine, doğru ve güzel kullanılmasına özen gösteren, toplumun eğitim düzeyini nitelik ve nicelik açısından geliştirmeye katkı sağlayabilen öğretmenler yetiştirmeye çalışmaktadır.  Bölüm vizyon olarak ise Atatürk’ün çizdiği çağdaş uygarlık düzeyine ulaşmak için büyük bir azimle çalışan, değişen ve eğitimöğretim teknolojilerini en iyi şekilde kullanabilen; geleceğe yönelik hedefleri olan; ekip çalışmasını benimsemiş ve bilgilerini farklı alanlarda uygulayabilen; değişen bilgi çağında dünyayı bir bütün olarak anlayabilen; bilimsel anlayışlı, üretken, ülke ve dünya sorunlarına duyarlı olup çözüm üretebilen üstün nitelikli öğretmenler yetiştirecek; genel eğitim ve özel öğretim alanlarında ulusal ve uluslar arası alanda lisans ve lisansüstü düzeyde bilimsel araştırmalar yapacak; ülkemizdeki ve dünyadaki eğitim sorunlarının çözümüne katkıda bulunabilecek bir bölüm olmayı hedeflemektedir.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Ayrıca, eğitim-öğretim (uzaktan eğitimi dâhil), araştırma-geliştirme, toplumsal katkı, yönetişim ve uluslararasılaşma alanlarına yönelik politikalar da geliştirilmiş, kurumsal kalite politikası ile bütünlük içinde yürütülmektedir.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ABD olarak daha iyi bir gelecek için mevcut problemlerin çözümüne hizmet edebilecek yöntem ve bilgiyi keşfetme/üretme doğrultusunda öğretim elemanları arasında işbirliği, paylaşım ve adaletli hareket etme politikasını benimsemektedir.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Olgunluk Düzeyi</w:t>
      </w:r>
      <w:r w:rsidRPr="005157DD">
        <w:rPr>
          <w:rFonts w:ascii="Calibri Light" w:eastAsia="Times New Roman" w:hAnsi="Calibri Light" w:cs="Calibri Light"/>
          <w:i/>
          <w:iCs/>
          <w:color w:val="464E5F"/>
          <w:lang w:eastAsia="tr-TR"/>
        </w:rPr>
        <w:t>: Kurumun genelinde misyon, vizyon ve politikalarla uyumlu uygulamalar bulunmaktadır.</w:t>
      </w:r>
      <w:bookmarkStart w:id="5" w:name="Tablo:_Ölçüt_Olgunluk_Düzeyi_(4)"/>
      <w:bookmarkEnd w:id="5"/>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4 - 4. Misyon, vizyon ve politikalar doğrultusunda gerçekleştirilen uygulamalar izlenmekte ve paydaşlarla birlikte değerlendirilerek önlemler alınmaktadır.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A.2.2. Stratejik amaç ve hedefler</w:t>
      </w:r>
    </w:p>
    <w:p w:rsidR="005157DD" w:rsidRPr="005157DD" w:rsidRDefault="005157DD" w:rsidP="005157DD">
      <w:pPr>
        <w:spacing w:before="100" w:beforeAutospacing="1" w:after="0" w:line="240" w:lineRule="auto"/>
        <w:ind w:left="1252"/>
        <w:jc w:val="both"/>
        <w:rPr>
          <w:rFonts w:ascii="Calibri Light" w:eastAsia="Times New Roman" w:hAnsi="Calibri Light" w:cs="Calibri Light"/>
          <w:color w:val="464E5F"/>
          <w:lang w:eastAsia="tr-TR"/>
        </w:rPr>
      </w:pPr>
    </w:p>
    <w:p w:rsidR="005157DD" w:rsidRPr="005157DD" w:rsidRDefault="005157DD" w:rsidP="00B87529">
      <w:pPr>
        <w:numPr>
          <w:ilvl w:val="2"/>
          <w:numId w:val="12"/>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lastRenderedPageBreak/>
        <w:t>Stratejik amaç ve hedefler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bookmarkStart w:id="6" w:name="Tablo:_Ölçüt_Olgunluk_Düzeyi_(5)"/>
      <w:bookmarkEnd w:id="6"/>
      <w:r w:rsidRPr="005157DD">
        <w:rPr>
          <w:rFonts w:ascii="Calibri Light" w:eastAsia="Times New Roman" w:hAnsi="Calibri Light" w:cs="Calibri Light"/>
          <w:i/>
          <w:iCs/>
          <w:color w:val="464E5F"/>
          <w:lang w:eastAsia="tr-TR"/>
        </w:rPr>
        <w:t>Ana Bilim Dalı’nda, kurum genelinde yerleşmiş bir stratejik planlama kültürü ve geleneği bulunmaktadır. Aksaray Üniversitesi mevcut stratejik planına uygun olarak, kısa, orta ve uzun vadeli amaçlar, hedefler, alt hedefler ve eylemleri içerecek bir planlama yapılmış; bu hedeflerin zamanlaması, önceliklendirilmesi, sorumluları ve mali kaynakları açık biçimde tanımlanmıştır. Planlama sürecinde, başta stratejik paydaşlar olmak üzere tüm iç ve dış paydaşların görüşleri alınmış, bu görüşler planın şekillenmesine doğrudan yansıtılmıştır.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 mevcut stratejik planda belirtilen amaçları benimsemekte ve bu amaçların gerçekleştirilmesine katkı sağlamakyönünde iyileştirmeler yapmaktadır.  Bu iyileştirmelerin yanı sıra Ana Bilim dalı ayrıca, eğitim-öğretim kalitesini geliştirme, bilimsel araştırmaların kalitesini artırma ve sürdürülebilir kılma, paydaşlarla iletişimi ve etkileşimi geliştirme, kurumsal yapıyı güçlendirme ve verimlilik ve yenilik kabiliyetini geliştirerek ulusal ve uluslararası rekabet gücünü artırmaya yönelik stratejik amaçları gerçekleştirme ve hedeflere ulaşmak için çaba göstermektedir.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bütünsel, tüm birimleri tarafından benimsenmiş ve paydaşlarınca bilinen stratejik planı ve bu planıyla uyumlu uygulamaları vardır.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A.2.3. Performans yönetimi</w:t>
      </w:r>
    </w:p>
    <w:p w:rsidR="005157DD" w:rsidRPr="005157DD" w:rsidRDefault="005157DD" w:rsidP="00B87529">
      <w:pPr>
        <w:numPr>
          <w:ilvl w:val="2"/>
          <w:numId w:val="13"/>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Performans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Dalında,  performans yönetim sistemleri stratejik amaçları( 2025-2029) doğrultusunda bütünsel bir yaklaşımla ele alınmaktadır(Akademik teşvik Yönetmeliği gibi). Birimin stratejik bakış açısını yansıtan performans yönetimi süreç odaklı ve paydaş katılımıyla sürdürülmesine çalışılmaktadır. </w:t>
      </w:r>
      <w:bookmarkStart w:id="7" w:name="Tablo:_Ölçüt_Olgunluk_Düzeyi_(6)"/>
      <w:bookmarkEnd w:id="7"/>
      <w:r w:rsidRPr="005157DD">
        <w:rPr>
          <w:rFonts w:ascii="Calibri Light" w:eastAsia="Times New Roman" w:hAnsi="Calibri Light" w:cs="Calibri Light"/>
          <w:color w:val="464E5F"/>
          <w:lang w:eastAsia="tr-TR"/>
        </w:rPr>
        <w:t>Öğretim üyelerinin performasının dönemlik olarak akademik alanda yapılan bütün faaliyetleri izlenmektedir.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geneline yayılmış performans yönetimi uygulamaları bulunmaktadır.</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A.3. Yönetim Sistemleri</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A.3.1. Bilgi yönetim sistemi</w:t>
      </w:r>
    </w:p>
    <w:p w:rsidR="005157DD" w:rsidRPr="005157DD" w:rsidRDefault="005157DD" w:rsidP="00B87529">
      <w:pPr>
        <w:numPr>
          <w:ilvl w:val="1"/>
          <w:numId w:val="14"/>
        </w:numPr>
        <w:spacing w:before="100" w:beforeAutospacing="1" w:after="0" w:line="240" w:lineRule="auto"/>
        <w:ind w:left="125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0782C1"/>
          <w:lang w:eastAsia="tr-TR"/>
        </w:rPr>
        <w:t>Yönetim </w:t>
      </w:r>
      <w:r w:rsidRPr="005157DD">
        <w:rPr>
          <w:rFonts w:ascii="Calibri Light" w:eastAsia="Times New Roman" w:hAnsi="Calibri Light" w:cs="Calibri Light"/>
          <w:b/>
          <w:bCs/>
          <w:color w:val="464E5F"/>
          <w:lang w:eastAsia="tr-TR"/>
        </w:rPr>
        <w:t>Sistemleri</w:t>
      </w:r>
    </w:p>
    <w:p w:rsidR="005157DD" w:rsidRPr="005157DD" w:rsidRDefault="005157DD" w:rsidP="00B87529">
      <w:pPr>
        <w:numPr>
          <w:ilvl w:val="2"/>
          <w:numId w:val="14"/>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Bilgi yönetim sistemi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bookmarkStart w:id="8" w:name="Tablo:_Ölçüt_Olgunluk_Düzeyi_(7)"/>
      <w:bookmarkEnd w:id="8"/>
      <w:r w:rsidRPr="005157DD">
        <w:rPr>
          <w:rFonts w:ascii="Calibri Light" w:eastAsia="Times New Roman" w:hAnsi="Calibri Light" w:cs="Calibri Light"/>
          <w:i/>
          <w:iCs/>
          <w:color w:val="464E5F"/>
          <w:lang w:eastAsia="tr-TR"/>
        </w:rPr>
        <w:t>Ana Bilim Dalı, Üniversite bünyesinde işleyen öğrenci, personel ve kampüs içi faaliyetlerle ilgili veri toplamak, işlemek ve raporlamak üzere oluşturulmuş otomasyon sistemleri kullanmaktadır. Bölüm, Personel Bilgi Sistemi, eBAP, EBYS, Öğrenci Bilgi Sistemi, Mezun Bilgi Sistemi ve Erasmus İkili Anlaşma Takip Sistemi, UBYS ve ASÜM uygulamalarından yararlanmaktadır.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 genelinde temel süreçleri (eğitim ve öğretim, araştırma ve geliştirme, toplumsal katkı, kalite güvencesi) destekleyen entegre bilgi yönetim sistemi işletilmektedir.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A.3.2. İnsan kaynakları yönetimi</w:t>
      </w:r>
    </w:p>
    <w:p w:rsidR="005157DD" w:rsidRPr="005157DD" w:rsidRDefault="005157DD" w:rsidP="00B87529">
      <w:pPr>
        <w:numPr>
          <w:ilvl w:val="2"/>
          <w:numId w:val="15"/>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İnsan kaynakları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xml:space="preserve">Anabilim Dalında insan kaynakları yönetimine ilişkin kurallar ve süreçler, Üniversitenin ilgili yönergeleri doğrultusunda açık, erişilebilir ve şeffaf biçimde uygulanmaktadır. Ana Bilim dalı öğretim elemanlarının özlük boyutunda temel hakları, 2547 sayılı Yükseköğretim Kanunu ve ilgili yönetmeliklere uygun şekilde güvence altındadır. Yükseltilme ve atanma kriterleri ve ilgili yönergeler uyarınca söz konusu işlemler ve hak edişler karşılanmaktadır. İKY kapsamında bir başka boyut olan izleme ve performans değerlendirmesi ASU personel dairesi tarafından arşivlenmektedir. İş analizi, seçme-yerleştirme, uyum, yetiştirme ve yetkinleştirme ile işten ayırma-emeklilik süreçleri de ilgili yasal süreçler izlenerek gerçekleştirilmektedir. Bu kapsamda ABD olarak yetkinleştirme sürecine ağırlık vermeyi hedeflemekte ve özellikle öğretim elemanlarının bilimsel araştırma, proje geliştirme-yürütme ve yayın üretme yönünde uzmanlaşma düzeylerini artırmayı amaçlamaktadır. Akademik personelin görevlendirme, yükseltme, performans değerlendirme ve görev dağılımı süreçlerinde eğitim, liyakat </w:t>
      </w:r>
      <w:r w:rsidRPr="005157DD">
        <w:rPr>
          <w:rFonts w:ascii="Calibri Light" w:eastAsia="Times New Roman" w:hAnsi="Calibri Light" w:cs="Calibri Light"/>
          <w:color w:val="464E5F"/>
          <w:lang w:eastAsia="tr-TR"/>
        </w:rPr>
        <w:lastRenderedPageBreak/>
        <w:t>ve yetkinlik geliştirme öncelikli kriterlerdir. ABD, öğretim elemanlarının mesleki gelişimini desteklemek amacıyla üniversite içi ve dışı hizmet içi eğitim programlarına aktif katılımı teşvik etmekte; bu doğrultuda düzenli veri toplamaktadır. Ana Bilim Dalı öğretim elemanlarından Prof. Dr. Savaş KARAGÖZ’ün YÖKAK ve EPDAD tarafından yapılan eğitimlere hem kişisel hem de kurumun gelişimine katkı sunması amacıyla katılım sağlaması birimin güçlü yanını göstermektedir. Aynı zamanda Ana Bilim Dalı öğretim elemanlarından Dr. Öğrt. Üyesi Serkan BOYRAZ’ın EPDAD tarafından verilen eğitimlere katılması birimin kalite konusunda güçlü yanını göstermektedir.Akademik çalışanların memnuniyet, şikâyet ve önerilerini belirlemeye yönelik çevrimiçi anketler, geri bildirim formları ve birim toplantıları aracılığıyla sistematik mekanizmalar işletilmektedir. Elde edilen veriler kalite komisyonu tarafından analiz edilmekte, sonuçlar yönetsel kararlara yansıtılmakta ve iyileşme alanlarına yönelik aksiyon planları hazırlanmaktadır. Bu süreç, ABD’nin insan kaynağı yönetiminde sürdürülebilir kalite yaklaşımını desteklemektedir.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insan kaynakları yönetimi doğrultusunda uygulamalar tanımlı süreçlere uygun bir biçimde yürütülmektedir.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A.3.3. Finansal yönetim</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Bölümün kurumsal olarak bir geliri bulunmamaktadır ve personel giderleri (maaş ve ek ders) ASÜ merkezi bütçesinden karşılanmaktadır. Bu nedenle finansal yönetim başlığı altında yapılan bir faaliyet bulunmamaktadır.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16" w:history="1">
        <w:r w:rsidRPr="005157DD">
          <w:rPr>
            <w:rFonts w:ascii="Calibri Light" w:eastAsia="Times New Roman" w:hAnsi="Calibri Light" w:cs="Calibri Light"/>
            <w:color w:val="3699FF"/>
            <w:lang w:eastAsia="tr-TR"/>
          </w:rPr>
          <w:t>https://strateji.aksaray.edu.tr/Bilgi-Belge</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w:t>
      </w:r>
      <w:r w:rsidRPr="005157DD">
        <w:rPr>
          <w:rFonts w:ascii="Calibri Light" w:eastAsia="Times New Roman" w:hAnsi="Calibri Light" w:cs="Calibri Light"/>
          <w:color w:val="464E5F"/>
          <w:lang w:eastAsia="tr-TR"/>
        </w:rPr>
        <w:t>: Bölüm,  Falültenin 5018 sayılı Kamu Mali Yönetimi ve Kontrol Kanunu ile diğer mevzuat hükümlerine göre takip ettiği finasal yönetime tabidir. Kurumda finansal kaynakların yönetim süreçleri izlenmekte ve iyileştirilmektedir.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finansal kaynakların yönetime ilişkin uygulamalar tanımlı süreçlere uygun biçimde yürütülmektedir.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A.3.4. Süreç yönetimi</w:t>
      </w:r>
    </w:p>
    <w:p w:rsidR="005157DD" w:rsidRPr="005157DD" w:rsidRDefault="005157DD" w:rsidP="00B87529">
      <w:pPr>
        <w:numPr>
          <w:ilvl w:val="2"/>
          <w:numId w:val="16"/>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Süreç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bookmarkStart w:id="9" w:name="Tablo:_Ölçüt_Olgunluk_Düzeyi_(10)"/>
      <w:bookmarkEnd w:id="9"/>
      <w:r w:rsidRPr="005157DD">
        <w:rPr>
          <w:rFonts w:ascii="Calibri Light" w:eastAsia="Times New Roman" w:hAnsi="Calibri Light" w:cs="Calibri Light"/>
          <w:i/>
          <w:iCs/>
          <w:color w:val="464E5F"/>
          <w:lang w:eastAsia="tr-TR"/>
        </w:rPr>
        <w:t>Anabilim Dalında yürütülen tüm akademik ve idari etkinliklere ilişkin süreçler ve alt süreçler, uzaktan eğitim uygulamaları dâhil olmak üzere açık biçimde tanımlanmıştır. Süreçlerde görevli sorumlular, iş akışları, yönetim ve sahiplenme mekanizmaları yazılı düzenlemelerle belirlenmiş ve birim tarafından içselleştirilmiştir. Süreç yönetiminin etkinliğine ilişkin kanıtlar; performans göstergeleri, dönemsel raporlar ve paydaş geri bildirimleriyle izlenmektedir. Ayrıca sürekli iyileştirme döngüsü işletilmekte ve tespit edilen gelişim alanlarına yönelik düzenli iyileştirme adımları uygulanmaktadır (ABD içi görev dağılımına ilişkin toplantı davet ve karar tutanakları).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ABD henüz dokümante edilmemiş proseslere sahiptir: Öğrenci başvuruları, seçme, danışman atama prosesi, Öğretim faaliyetleri prosesi (ders dağılımı, haftalık program, derslerdeki öğrenci gelişiminin değerlendirilmesi), Tez yönetimi prosesi (Seminer, tez önerisi, tez araştırması, tez raporunun yazımı, tez savunması), Yönetsel faaliyetleri yürütme prosesi (yazışmalar, raporlamalar, kurul kararları). Belirtilen proseslerin yürütülmesinde ASU Kalite Birimi tarafından dokümante edilen yönergeler uygulanmaktadır.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Olgunluk Düzeyi</w:t>
      </w:r>
      <w:r w:rsidRPr="005157DD">
        <w:rPr>
          <w:rFonts w:ascii="Calibri Light" w:eastAsia="Times New Roman" w:hAnsi="Calibri Light" w:cs="Calibri Light"/>
          <w:i/>
          <w:iCs/>
          <w:color w:val="464E5F"/>
          <w:lang w:eastAsia="tr-TR"/>
        </w:rPr>
        <w:t>: Bölüm, Fakülteye bağlı olarak eğitim ve öğretim, araştırma ve geliştirme, toplumsal katkı ve yönetim sistemi süreç ve alt süreçleri içerinde yer almaktadır.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tanımlı süreçler yönetilmektedir.</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A.4. Paydaş Katılımı</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A.4.1. İç ve dış paydaş katılımı</w:t>
      </w:r>
    </w:p>
    <w:p w:rsidR="005157DD" w:rsidRPr="005157DD" w:rsidRDefault="005157DD" w:rsidP="00B87529">
      <w:pPr>
        <w:numPr>
          <w:ilvl w:val="1"/>
          <w:numId w:val="17"/>
        </w:numPr>
        <w:spacing w:before="100" w:beforeAutospacing="1" w:after="0" w:line="240" w:lineRule="auto"/>
        <w:ind w:left="125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PAYDAŞ KATILIMI</w:t>
      </w:r>
    </w:p>
    <w:p w:rsid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p>
    <w:p w:rsidR="005157DD" w:rsidRPr="005157DD" w:rsidRDefault="005157DD" w:rsidP="00B87529">
      <w:pPr>
        <w:numPr>
          <w:ilvl w:val="2"/>
          <w:numId w:val="18"/>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lastRenderedPageBreak/>
        <w:t>İç ve dış paydaş katılımı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 iç ve dış paydaşların karar alma, yönetişim ve iyileştirme süreçlerine katılımına yönelik mekanizmalar açık biçimde tanımlanmıştır. Öğrenci temsilcileri, mezunlar, uygulama okulları ve ilgili sektör paydaşları toplantılar, anketler ve danışma kurulları aracılığıyla düzenli olarak sürece dâhil edilmektedir. Katılımın etkinliği, sürekliliği ve kurumsallığı izlenmekte; özellikle öğrenci ve dış paydaş katkılarının iç kalite güvencesi sistemindeki yansımaları belgelenmektedir. Elde edilen bulgular değerlendirilerek program geliştirme, ölçme-değerlendirme ve uygulama süreçlerinde gerekli iyileştirmeler Ders Bilgi paketleri üzerinde yapılmaktadır.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Tüm süreçlerdeki PUKÖ katmanlarına paydaş katılımını sağlamak üzere Kurumun geneline yayılmış mekanizmalar bulunmaktadır.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A.4.2. Öğrenci geri bildirimleri</w:t>
      </w:r>
    </w:p>
    <w:p w:rsidR="005157DD" w:rsidRPr="005157DD" w:rsidRDefault="005157DD" w:rsidP="00B87529">
      <w:pPr>
        <w:numPr>
          <w:ilvl w:val="2"/>
          <w:numId w:val="19"/>
        </w:numPr>
        <w:spacing w:before="100" w:beforeAutospacing="1" w:after="0" w:line="240" w:lineRule="auto"/>
        <w:ind w:left="197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Öğrenci geri bildirimleri</w:t>
      </w:r>
      <w:bookmarkStart w:id="10" w:name="Tablo:_Ölçüt_Olgunluk_Düzeyi_(12)"/>
      <w:bookmarkEnd w:id="10"/>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Dalında, öğretim elemanları, program memnuniyeti ve kurumsal hizmetlere ilişkin öğrenci görüşleri sistematik olarak toplanmakta ve analiz edilmektedir. Analiz sonucunda gerekli iyileştirmelerin yapılması planlanmaktadır. Anketler, çevrimiçi geri bildirim formları ve öğrenci temsilcileri aracılığıyla elde edilen verilerin geçerliliği ve güvenilirliği güvence altına alınmaktadır. Öğrenci şikâyet ve önerilerine yönelik çevrimiçi başvuru sistemi, danışmanlık görüşmeleri ve birim toplantıları gibi çeşitli kanallar aktif biçimde kullanılmakta; bu mekanizmaların adil ve etkin işleyişi düzenli olarak denetlenmektedir. Sonuçlar ilgili kurullarla paylaşılmakta ve iyileştirme süreçlerine doğrudan yansıtılmaktadır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rogramların genelinde öğrenci geri bildirimleri (her yarıyıl ya da her akademik yıl sonunda) alınmaktadır.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A.4.3. Mezun ilişkileri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A.4.3. </w:t>
      </w:r>
      <w:r w:rsidRPr="005157DD">
        <w:rPr>
          <w:rFonts w:ascii="Calibri Light" w:eastAsia="Times New Roman" w:hAnsi="Calibri Light" w:cs="Calibri Light"/>
          <w:b/>
          <w:bCs/>
          <w:color w:val="464E5F"/>
          <w:lang w:eastAsia="tr-TR"/>
        </w:rPr>
        <w:t>Mezun ilişkileri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 lisans düzeyinde mezun vermediğinden doğrudan bir mezun takibi söz konusu değildir. Ancak tez danışmanlığı yapan öğretim elemanlarınca doktora süreci, istihdam ve kariyer gelişimi konusunda danışmanlık yapılmaktadır. Bununla birlikte, Eğitim, Spor Bilimleri ve İslami İlimler fakülteleri ile İsteğe Bağlı Formasyon dersleri aracılığıyla lisans eğitimi veren tüm fakültelerin öğrencilerinden mezun olanlarla iletişim Aksaray Üniversitesi Mezun Takip Sistemi üzerinden sürdürülmektedir (Kanıt A.4.3.1). ABD, mezun olma süreçlerini öğrencilere uyum eğitimi sırasında tanıtmaktadır. Mezun olma koşulları hakkında bilgilendirme yapmakta ve bu süreci izlemektedir. Mezuniyet durumunda kurumsal kültür oluşturma yönünde düzenleme ve uygulamalar yürütmektedir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Örnek Kanıtlar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17" w:history="1">
        <w:r w:rsidRPr="005157DD">
          <w:rPr>
            <w:rFonts w:ascii="Calibri Light" w:eastAsia="Times New Roman" w:hAnsi="Calibri Light" w:cs="Calibri Light"/>
            <w:color w:val="3699FF"/>
            <w:lang w:eastAsia="tr-TR"/>
          </w:rPr>
          <w:t>(3).A.4.3.1.ASU_ogrenci_memnuniyet_anketi</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18" w:history="1">
        <w:r w:rsidRPr="005157DD">
          <w:rPr>
            <w:rFonts w:ascii="Calibri Light" w:eastAsia="Times New Roman" w:hAnsi="Calibri Light" w:cs="Calibri Light"/>
            <w:color w:val="3699FF"/>
            <w:lang w:eastAsia="tr-TR"/>
          </w:rPr>
          <w:t>(3).A.4.3.1.ASU_mezun_bilgi_sistemi</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19" w:history="1">
        <w:r w:rsidRPr="005157DD">
          <w:rPr>
            <w:rFonts w:ascii="Calibri Light" w:eastAsia="Times New Roman" w:hAnsi="Calibri Light" w:cs="Calibri Light"/>
            <w:color w:val="3699FF"/>
            <w:lang w:eastAsia="tr-TR"/>
          </w:rPr>
          <w:t>(3).A.4.3.3.ASÜ_2024-2025_egitim_ögretim_yılı_bahar_dönemi_ögrenci_memnuniyet_anketi</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w:t>
      </w:r>
      <w:r w:rsidRPr="005157DD">
        <w:rPr>
          <w:rFonts w:ascii="Calibri Light" w:eastAsia="Times New Roman" w:hAnsi="Calibri Light" w:cs="Calibri Light"/>
          <w:color w:val="464E5F"/>
          <w:lang w:eastAsia="tr-TR"/>
        </w:rPr>
        <w:t> Birim genelini kapsayan uygulamaların sonuçları izlenmekte ve ilgili paydaşların katılımıyla iyileştirmeler gerçekleştirilmektedir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Kurumdaki programların genelinde mezun izleme sistemi uygulamaları vardır.</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A.5. Uluslararasılaşma</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A.5.1. Uluslararasılaşma süreçlerinin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Uluslararasılaşma süreçlerinin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 xml:space="preserve">Ana Bilim Dalı, uluslararasılaşma süreçlerinin yönetimi kurumsal düzeyde yapılandırılmış olup üniversitenin uluslararasılaşma politikasıyla uyumludur. Öğrenci ve öğretim elemanı hareketliliği, ortak araştırma faaliyetleri ve yabancı dilde yürütülen etkinlikler ilgili birimlerle koordineli şekilde yürütülmektedir. Buna göre uluslararası öğrencilerin yabancı dilde alabileceği dersler ABD tarafından dönemlik olarak açılmaktadır (Kanıt A.5.1.1). Öte yandan öğretim elemanları Erasmus+ kapsamında ders verme hareketliliğine katılmaktadır. Bir öğretim elemanı </w:t>
      </w:r>
      <w:r w:rsidRPr="005157DD">
        <w:rPr>
          <w:rFonts w:ascii="Calibri Light" w:eastAsia="Times New Roman" w:hAnsi="Calibri Light" w:cs="Calibri Light"/>
          <w:i/>
          <w:iCs/>
          <w:color w:val="464E5F"/>
          <w:lang w:eastAsia="tr-TR"/>
        </w:rPr>
        <w:lastRenderedPageBreak/>
        <w:t>TÜBİTAK doktora sonrası araştırma bursu kapsamında altı ay süreli ABD’de bulunmuştur. Organizasyonel yapının işleyişi ve etkinliği düzenli raporlarla izlenmekte ve iyileştirme alanları belirlenmektedir.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Kurumda uluslararasılaşma süreçlerinin yönetimine ilişkin organizasyonel yapılanma tamamlanmış olup; şeffaf, kapsayıcı ve katılımcı biçimde işlemektedir.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A.5.2. Uluslararasılaşma kaynakları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Uluslararasılaşma kaynakları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dalında, uluslararasılaşma kapsamında doğrudan bir kaynağa sahip değildir ve bu nedenle kaynak yönetimine ilişkin doğrudan yürütülen bir süreç bulunmamaktadır. ASU Dış İlişkiler Koordinatörlüğü tarafından duyurulan faaliyetlere başvuru ve değerlendirilme süreçlerine uyulmaktadır. Öte yandan, ASÜ tarafından uluslararasılaşma için ayrılan kaynaklar ABD öğretim elemanlarınca etkin bir biçimde kullanılmaktadır.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w:t>
      </w:r>
      <w:r w:rsidRPr="005157DD">
        <w:rPr>
          <w:rFonts w:ascii="Calibri Light" w:eastAsia="Times New Roman" w:hAnsi="Calibri Light" w:cs="Calibri Light"/>
          <w:color w:val="464E5F"/>
          <w:lang w:eastAsia="tr-TR"/>
        </w:rPr>
        <w:t> : Bölüm, Üniversitenin uluslararasılaşma faaliyetlerini sürdürebilmek için uygun nitelik ve nicelikte fiziki, teknik ve mali kaynakların oluşturulmasına yönelik planları  doğrultusunda hareket etmektedir.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2 - Kurumun uluslararasılaşma faaliyetlerini sürdürebilmek için uygun nitelik ve nicelikte fiziki, teknik ve mali kaynakların oluşturulmasına yönelik planları bulunmaktadır.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A.5.3. Uluslararasılaşma performansı</w:t>
      </w:r>
    </w:p>
    <w:p w:rsidR="005157DD" w:rsidRPr="005157DD" w:rsidRDefault="005157DD" w:rsidP="00B87529">
      <w:pPr>
        <w:numPr>
          <w:ilvl w:val="0"/>
          <w:numId w:val="20"/>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Uluslararasılaşma performansı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ABD tarafından, uluslararasılaşma performansı düzenli biçimde izlenmekte; öğretim elemanı hareketliliği, ortak proje ve yayın sayıları gibi göstergeler üzerinden değerlendirilmektedir. İzleme mekanizmaları yerleşik ve sürdürülebilir olup sonuçlar periyodik raporlarla belgelenmektedir.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geneline yayılmış uluslararasılaşma faaliyetleri bulunmaktadır.</w:t>
      </w:r>
    </w:p>
    <w:p w:rsidR="005157DD" w:rsidRPr="005157DD" w:rsidRDefault="005157DD" w:rsidP="005157DD">
      <w:pPr>
        <w:spacing w:after="100" w:afterAutospacing="1" w:line="240" w:lineRule="auto"/>
        <w:jc w:val="both"/>
        <w:outlineLvl w:val="0"/>
        <w:rPr>
          <w:rFonts w:ascii="Calibri Light" w:eastAsia="Times New Roman" w:hAnsi="Calibri Light" w:cs="Calibri Light"/>
          <w:color w:val="464E5F"/>
          <w:kern w:val="36"/>
          <w:lang w:eastAsia="tr-TR"/>
        </w:rPr>
      </w:pPr>
      <w:r w:rsidRPr="005157DD">
        <w:rPr>
          <w:rFonts w:ascii="Calibri Light" w:eastAsia="Times New Roman" w:hAnsi="Calibri Light" w:cs="Calibri Light"/>
          <w:b/>
          <w:bCs/>
          <w:color w:val="464E5F"/>
          <w:kern w:val="36"/>
          <w:lang w:eastAsia="tr-TR"/>
        </w:rPr>
        <w:t>B. EĞİTİM ve ÖĞRETİM</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B.1. Program Tasarımı, Değerlendirmesi ve Güncellenmesi</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B.1.1. Programların tasarımı ve onayı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1. Program Tasarımı, Değerlendirmesi ve Güncellenmesi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B.1.1. Programların tasarımı ve onayı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xml:space="preserve">Anabilim Dalı'nda düzenlenen bölüm kurul toplantılarında alınan öneriler toplantı sırasında yazılı olarak raporlanmakta ve karar tutanağı oluşturulmaktadır. Bu tutanak, ana bilim dalının eğitim-öğretim politikalarının şekillendirilmesinde önemli bir kaynak olarak kullanılmaktadır. ABD olarak, Avrupa Birliği'nin 2000 yılında yayınladığı Lizbon Stratejisi ve Türkiye'nin 2001 yılında dahil olduğu Bologna Süreci doğrultusunda, yükseköğretim sistemlerinde şeffaflık, tanınma ve hareketliliği artırma hedefleriyle Türkiye Yükseköğretim Yeterlilikler Çerçevesi'ni benimsemiştir. Bu çerçeve, ulusal ve uluslararası paydaşlarca tanınabilen yeterliliklerin düzenli bir şekilde yapılandırılmasını amaçlamaktadır. Eğitim programımız, bu yeterlilikler temel alınarak tasarlanmış olup, yükseköğretimdeki tüm yeterlilikler ve öğrenme kazanımları arasındaki ilişkiyi açıklığa kavuşturmayı hedeflemektedir. Bologna Süreci, Eğitim Programları ve Öğretim programlarının eğitimsel hedeflerine ve öğrenme çıktılarının sağlanmasına yönelik bir güvence mekanizması oluşturmuştur. Bu çerçevede, öğrenci hangi derslerinde hangi bilgi ve becerileri kazanacağını, hangi yetkinliklere sahip olacağı ve kendisinden hangi performans beklentilerinin olduğu konusunda net bir bilgiye sahip olmaktadır. Öğrencinin bir dersi başarıyla tamamlayabilmesi için yerine getirmesi gereken tüm akademik ve pratik faaliyetler (teorik dersler, seminerler, bireysel çalışmalar, sınavlar, ödevler vb.) bu sistemle açık bir şekilde tanımlanmakta ve düzenlenmektedir.  Programların eğitim amaçları ve kazanımları kamuoyuna açık bir şekilde anabilim dalı, bölüm ya da fakülte web sayfalarında ilan edilmektedir. Kazanımlar, bilişsel, duyuşsal ve devinimsel düzeyleri açıkça ortaya koyacak şekilde tanımlanmıştır. Programların ve derslerin tasarımında, alana özgü uygulamalar ve gereklilikler dikkate alınmıştır. Program çıktılarının gerçekleşme düzeyini izlemek amacıyla birimler tarafından öz değerlendirme ve akran değerlendirme çalışmaları yürütülmektedir. Birim Eğitim-Öğretim Kalite </w:t>
      </w:r>
      <w:r w:rsidRPr="005157DD">
        <w:rPr>
          <w:rFonts w:ascii="Calibri Light" w:eastAsia="Times New Roman" w:hAnsi="Calibri Light" w:cs="Calibri Light"/>
          <w:color w:val="464E5F"/>
          <w:lang w:eastAsia="tr-TR"/>
        </w:rPr>
        <w:lastRenderedPageBreak/>
        <w:t>Komisyonları, gerekli değerlendirmeleri yapmakta ve süreci düzenli olarak izlemektedir. Birimlerden gelen geri bildirimler doğrultusunda önerilen güncellemelerin hayata geçirilmesi için Eğitim-Öğretim Kalite Alt Komisyonu destek sağlamakta, önerilerde bulunmakta ve sürecin takibini yapmaktadır. Programlarda ders önerisinde bulunma, ders açma ve güncelleme işlemleri tanımlı yasal kurallara uygun yürütülmektedir. Bu kapsamda ilgili mevzuat ve iş akış şemaları Üniversitemiz web sitesinde bulunmaktadır (Aksaray Üniversitesi Önlisans, Lisans Eğitim-Öğretim ve Sınav Yönetmeliği). Programların tasarımı ve güncellenmesinde geliştirilmesi gereken yön dış paydaşların görüşlerinin alınmasıdır. Yeni programların tasarımı için, öncelikle Kalite Koordinatörlüğü’ne başvuru yapılması; ardından Eğitim-Öğretim Alt Komisyonunun görüşü alındıktan sonra ilgili mevzuatın uygulanması yönünde tanımlı bir süreç oluşturulmuştur.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Programların tasarım ve onay süreçleri sistematik olarak izlenmekte ve ilgili paydaşlarla birlikte değerlendirilerek iyileştirilmektedir.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B.1.2. Programın ders dağılım dengesi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Programın ders dağılım dengesi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Dalında, program ders dağılımına ilişkin ilke, kural ve yöntemler, 2547 sayılı Yükseköğretim Kanunu, Üniversitelerde Akademik Teşkilat Yönetmeliği (Madde 13, 14, 15, 16) ve Lisansüstü Eğitim Öğretim Yönergesine göre, bölüm başkanlığı yetkisinde öğretim elemanlarının uzmanlık alanları dikkate alınarak oluşturulmuştur ve uygulanmaktadır. Program tanıtımlarında ders dağılımlarının bölüm ve alan bazlı yapıldığına ilişkin öğrencilere somut bilgiler sağlanmaktadır. Kurum genelinde, ders sayısı ve haftalık ders saatlerinin öğrencilerin akademik olmayan etkinliklere de zaman ayırabileceği şekilde düzenlendiği görülmektedir. Bu bağlamda, benzeri diğer kurumlardaki programlarla karşılaştırmalar yapılarak ders sayı ve saatleri belirlenmektedir. Bununla birlikte öğrenci iş yükü temelli ders dağılımı uyarınca bir dönem 30 AKTS ders yüküne karşılık gelecek şekilde ders dağılımı yapılmaktadır. Öte yandan programa ağırlıkla öğretmen ve yöneticilik deneyimi olanlar başvurduğundan yüz yüze derslere devamın sağlanması için haftalık ders programı bu duruma uygun şekilde hazırlanmaktadır.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 Öğretim programlarının yapısında zorunlu-seçmeli ders, alan-alan dışı ders dengesinin gözetildiği ve seçmeli ders havuzu ile kültürel derinlik ve farklı disiplinleri tanıma imkânları sağlandığı görülmüştür. Programların genelinde ders bilgi paketleri, tanımlı süreçler doğrultusunda hazırlanmış ve ilan edilmiştir. Ayrıca İslami İlimler, Spor Fakültesi, Fen Edebiyat Fakültesi v.b gibi eğitim fakültesi dışından ders taleplerine şeffaf bir şekilde öğretim üyeleri katılımıyla ders dağıtımı yapılmaktadır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Programlarda ders dağılım dengesi izlenmekte ve iyileştirilmektedir.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B.1.3. Ders kazanımlarının program çıktılarıyla uyumu</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Ders kazanımlarının program çıktılarıyla uyumu</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Derslerin öğrenme kazanımları tanımlanmış ve program çıktılarıyla ilişkilendirilmiş olup, bu kazanımlar öngörülen bilişsel, duyuşsal ve devinimsel düzeyleri açık biçimde yansıtmaktadır. Bologna bilgi paketlerinin hazırlanmasına yönelik çeşitli eğitimler verilmiş olup verilen derslerde öğrenme çıktılarının öğrenci merkezli olduğu, ölçülebilir nitelik taşıdığı, öğrencinin ders sonunda edineceği yeterliklerin tanımlandığı ve öğrenme çıktılarının program çıktısıyla ilişkilendirildiği belirlenmiştir. Ders öğrenme kazanımlarının gerçekleşme düzeylerinin izlenmesi birim başkanlıkları ve eğitim-öğretim kalite komisyonları tarafından yürütülmekle olduğu görülmüştür. Öğrenci Bilgi Sistemi (OBS) ile mezuniyet aşamasına gelmiş olan öğrencinin o program çıktısına ne düzeyde ulaştığı tespit edilebilmektedir.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Ders kazanımlarının program çıktılarıyla uyumu izlenmekte ve iyileştirilmektedir.</w:t>
      </w:r>
    </w:p>
    <w:p w:rsidR="005157DD" w:rsidRDefault="005157DD" w:rsidP="005157DD">
      <w:pPr>
        <w:spacing w:before="300" w:after="100" w:afterAutospacing="1" w:line="240" w:lineRule="auto"/>
        <w:jc w:val="both"/>
        <w:outlineLvl w:val="2"/>
        <w:rPr>
          <w:rFonts w:ascii="Calibri Light" w:eastAsia="Times New Roman" w:hAnsi="Calibri Light" w:cs="Calibri Light"/>
          <w:b/>
          <w:bCs/>
          <w:color w:val="464E5F"/>
          <w:lang w:eastAsia="tr-TR"/>
        </w:rPr>
      </w:pPr>
    </w:p>
    <w:p w:rsidR="005157DD" w:rsidRDefault="005157DD" w:rsidP="005157DD">
      <w:pPr>
        <w:spacing w:before="300" w:after="100" w:afterAutospacing="1" w:line="240" w:lineRule="auto"/>
        <w:jc w:val="both"/>
        <w:outlineLvl w:val="2"/>
        <w:rPr>
          <w:rFonts w:ascii="Calibri Light" w:eastAsia="Times New Roman" w:hAnsi="Calibri Light" w:cs="Calibri Light"/>
          <w:b/>
          <w:bCs/>
          <w:color w:val="464E5F"/>
          <w:lang w:eastAsia="tr-TR"/>
        </w:rPr>
      </w:pPr>
    </w:p>
    <w:p w:rsidR="005157DD" w:rsidRDefault="005157DD" w:rsidP="005157DD">
      <w:pPr>
        <w:spacing w:before="300" w:after="100" w:afterAutospacing="1" w:line="240" w:lineRule="auto"/>
        <w:jc w:val="both"/>
        <w:outlineLvl w:val="2"/>
        <w:rPr>
          <w:rFonts w:ascii="Calibri Light" w:eastAsia="Times New Roman" w:hAnsi="Calibri Light" w:cs="Calibri Light"/>
          <w:b/>
          <w:bCs/>
          <w:color w:val="464E5F"/>
          <w:lang w:eastAsia="tr-TR"/>
        </w:rPr>
      </w:pPr>
    </w:p>
    <w:p w:rsidR="005157DD" w:rsidRDefault="005157DD" w:rsidP="005157DD">
      <w:pPr>
        <w:spacing w:before="300" w:after="100" w:afterAutospacing="1" w:line="240" w:lineRule="auto"/>
        <w:jc w:val="both"/>
        <w:outlineLvl w:val="2"/>
        <w:rPr>
          <w:rFonts w:ascii="Calibri Light" w:eastAsia="Times New Roman" w:hAnsi="Calibri Light" w:cs="Calibri Light"/>
          <w:b/>
          <w:bCs/>
          <w:color w:val="464E5F"/>
          <w:lang w:eastAsia="tr-TR"/>
        </w:rPr>
      </w:pP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B.1.4. Öğrenci iş yüküne dayalı ders tasarımı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Öğrenci iş yüküne dayalı ders tasarımı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Avrupa Kredi Transfer Sistemi (AKTS) kapsamında öğretim sürecinde öğrencilerin gerçekleştirdiği çalışmalar ve bu çalışmaların ölçme-değerlendirme karşılığı tanımlanmıştır. Bu kapsamda, Ana Bilim Dalları programlarında her bir dersin söz konusu tanımları yapılmıştır. Ana Bilim Dalında dersler, öğrenci iş yüküne uygun biçimde tasarlanmış, duyurulmuş ve uygulamaya geçirilmiştir. Ders bilgi paketlerinde AKTS hesaplamalarına yer verilmekte olup, bu hesaplamalarda standart bir yapı yerine derslerin özelliklerine bağlı olarak farklılıklar gözlenmektedir; örneğin teorik ve uygulamalı derslerin iş yükleri farklı şekilde hesaplanmaktadır. Kurum, AKTS iş yükü hesaplamalarında iyi örnekleri dikkate aldığını belirtmiştir.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Programlarda öğrenci iş yükü izlenmekte ve buna göre ders tasarımı güncellenmektedir.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B.1.5. Programların izlenmesi ve güncellenmesi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Programların izlenmesi ve güncellenmesi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Dalında, programların ve derslerin belirlenen amaç ve çıktılar doğrultusunda izlenmesine yönelik bir farkındalığın oluştuğu görülmektedir. Bazı programlarda dönem sonlarında birim toplantıları düzenlenmekte, ihtiyaç analizleri yapılmakta ve öğrenci anketleri uygulanmaktadır. Ayrıca, bazı programların geliştirilmesi sürecinde dış paydaşlardan gelen öneriler de dikkate alınarak iyileştirme çalışmaları yürütülmektedir. Anabilim Dalı'nda, değerlendirme sonuçları eğitim komisyonu tarafından detaylı bir şekilde incelenmekte ve tartışılmaktadır. Elde edilen bulgular, programın sürekli iyileştirilmesi ve güncellenmesi amacıyla kullanılmakta, böylece öğretim süreçlerinin etkinliği artırılmakta ve öğrencilerin bilimsel yetkinlikleri daha da güçlendirilmektedir. Ayrıca kurum genelinde öğrenci-öğretim elemanı iletişiminin güçlü olduğu, öğrencilerin istedikleri zaman “açık kapı” uygulaması ya da yapılandırılmamış (informal) iletişim kanalları aracılığıyla yöneticiler ve öğretim elemanlarıyla görüş, istek ve önerilerini paylaşabildikleri belirlenmiştir. Bu durumun, önemli bir iç paydaş olan öğrencilerden gelen geri bildirimlerin bazı programların güncellenmesinde kullanılmasına katkı sağladığı görülmüştür.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Programların genelinde program çıktılarının izlenmesine ve güncellenmesine ilişkin mekanizmalar işletilmektedir.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B.1.6. Eğitim ve öğretim süreçlerinin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Eğitim ve öğretim süreçlerinin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 eğitim ve öğretim süreçlerini bütüncül olarak yönetmek üzere; organizasyonel yapılanma (üniversite eğitim ve öğretim komisyonu, öğrenme ve öğretme merkezi, vb.), bilgi yönetim sistemi ve uzman insan kaynağına sahiptir. Eğitim ve öğretim süreçleri üst yönetimin koordinasyonunda yürütülmekte olup; bu süreçlere ilişkin görev ve sorumluluklar tanımlanmıştır. Eğitim ve öğretim programlarının tasarlanması, yürütülmesi, değerlendirilmesi ve güncellenmesi faaliyetlerine ilişkin birim genelinde ilke, esaslar ile takvim belirlidir. Programlarda öğrenme kazanımı, öğretim programı (müfredat), eğitim hizmetinin verilme biçimi (örgün, uzaktan, karma, açıktan), öğretim yöntemi ve ölçme-değerlendirme uyumu ve tüm bu süreçlerin koordinasyonu üst yönetim tarafından takip edilmektedir. Bu bağlamda, görev ve sorumluluklar tamamen YÖKAK Değerlendirme Ölçütleri çerçevesinde belirlenmiştir.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eğitim ve öğretim süreçleri belirlenmiş ilke ve kuralara uygun yönetilmektedir.</w:t>
      </w:r>
    </w:p>
    <w:p w:rsidR="005157DD" w:rsidRDefault="005157DD" w:rsidP="005157DD">
      <w:pPr>
        <w:spacing w:after="100" w:afterAutospacing="1" w:line="240" w:lineRule="auto"/>
        <w:jc w:val="both"/>
        <w:outlineLvl w:val="1"/>
        <w:rPr>
          <w:rFonts w:ascii="Calibri Light" w:eastAsia="Times New Roman" w:hAnsi="Calibri Light" w:cs="Calibri Light"/>
          <w:b/>
          <w:bCs/>
          <w:color w:val="464E5F"/>
          <w:lang w:eastAsia="tr-TR"/>
        </w:rPr>
      </w:pPr>
    </w:p>
    <w:p w:rsidR="005157DD" w:rsidRDefault="005157DD" w:rsidP="005157DD">
      <w:pPr>
        <w:spacing w:after="100" w:afterAutospacing="1" w:line="240" w:lineRule="auto"/>
        <w:jc w:val="both"/>
        <w:outlineLvl w:val="1"/>
        <w:rPr>
          <w:rFonts w:ascii="Calibri Light" w:eastAsia="Times New Roman" w:hAnsi="Calibri Light" w:cs="Calibri Light"/>
          <w:b/>
          <w:bCs/>
          <w:color w:val="464E5F"/>
          <w:lang w:eastAsia="tr-TR"/>
        </w:rPr>
      </w:pPr>
    </w:p>
    <w:p w:rsidR="005157DD" w:rsidRDefault="005157DD" w:rsidP="005157DD">
      <w:pPr>
        <w:spacing w:after="100" w:afterAutospacing="1" w:line="240" w:lineRule="auto"/>
        <w:jc w:val="both"/>
        <w:outlineLvl w:val="1"/>
        <w:rPr>
          <w:rFonts w:ascii="Calibri Light" w:eastAsia="Times New Roman" w:hAnsi="Calibri Light" w:cs="Calibri Light"/>
          <w:b/>
          <w:bCs/>
          <w:color w:val="464E5F"/>
          <w:lang w:eastAsia="tr-TR"/>
        </w:rPr>
      </w:pP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lastRenderedPageBreak/>
        <w:t>B.2. Programların Yürütülmesi (Öğrenci Merkezli Öğrenme, Öğretme ve Değerlendirme)</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B.2.1. Öğretim yöntem ve teknikleri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1. Program Tasarımı, Değerlendirmesi ve Güncellenmesi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B.1.1. Programların tasarımı ve onayı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Anabilim Dalı'nda düzenlenen bölüm kurul toplantılarında alınan öneriler toplantı sırasında yazılı olarak raporlanmakta ve karar tutanağı oluşturulmaktadır. Bu tutanak, ana bilim dalının eğitim-öğretim politikalarının şekillendirilmesinde önemli bir kaynak olarak kullanılmaktadır. ABD olarak, Avrupa Birliği'nin 2000 yılında yayınladığı Lizbon Stratejisi ve Türkiye'nin 2001 yılında dahil olduğu Bologna Süreci doğrultusunda, yükseköğretim sistemlerinde şeffaflık, tanınma ve hareketliliği artırma hedefleriyle Türkiye Yükseköğretim Yeterlilikler Çerçevesi'ni benimsemiştir. Bu çerçeve, ulusal ve uluslararası paydaşlarca tanınabilen yeterliliklerin düzenli bir şekilde yapılandırılmasını amaçlamaktadır. Eğitim programımız, bu yeterlilikler temel alınarak tasarlanmış olup, yükseköğretimdeki tüm yeterlilikler ve öğrenme kazanımları arasındaki ilişkiyi açıklığa kavuşturmayı hedeflemektedir. Bologna Süreci, Eğitim Programları ve Öğretim programlarının eğitimsel hedeflerine ve öğrenme çıktılarının sağlanmasına yönelik bir güvence mekanizması oluşturmuştur. Bu çerçevede, öğrenci hangi derslerinde hangi bilgi ve becerileri kazanacağını, hangi yetkinliklere sahip olacağı ve kendisinden hangi performans beklentilerinin olduğu konusunda net bir bilgiye sahip olmaktadır. Öğrencinin bir dersi başarıyla tamamlayabilmesi için yerine getirmesi gereken tüm akademik ve pratik faaliyetler (teorik dersler, seminerler, bireysel çalışmalar, sınavlar, ödevler vb.) bu sistemle açık bir şekilde tanımlanmakta ve düzenlenmektedir.  Programların eğitim amaçları ve kazanımları kamuoyuna açık bir şekilde anabilim dalı, bölüm ya da fakülte web sayfalarında ilan edilmektedir. Kazanımlar, bilişsel, duyuşsal ve devinimsel düzeyleri açıkça ortaya koyacak şekilde tanımlanmıştır. Programların ve derslerin tasarımında, alana özgü uygulamalar ve gereklilikler dikkate alınmıştır. Program çıktılarının gerçekleşme düzeyini izlemek amacıyla birimler tarafından öz değerlendirme ve akran değerlendirme çalışmaları yürütülmektedir. Birim Eğitim-Öğretim Kalite Komisyonları, gerekli değerlendirmeleri yapmakta ve süreci düzenli olarak izlemektedir. Birimlerden gelen geri bildirimler doğrultusunda önerilen güncellemelerin hayata geçirilmesi için Eğitim-Öğretim Kalite Alt Komisyonu destek sağlamakta, önerilerde bulunmakta ve sürecin takibini yapmaktadır. Programlarda ders önerisinde bulunma, ders açma ve güncelleme işlemleri tanımlı yasal kurallara uygun yürütülmektedir. Bu kapsamda ilgili mevzuat ve iş akış şemaları Üniversitemiz web sitesinde bulunmaktadır (Aksaray Üniversitesi Önlisans, Lisans Eğitim-Öğretim ve Sınav Yönetmeliği). Programların tasarımı ve güncellenmesinde geliştirilmesi gereken yön dış paydaşların görüşlerinin alınmasıdır. Yeni programların tasarımı için, öncelikle Kalite Koordinatörlüğü’ne başvuru yapılması; ardından Eğitim-Öğretim Alt Komisyonunun görüşü alındıktan sonra ilgili mevzuatın uygulanması yönünde tanımlı bir süreç oluşturulmuştur.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Programların genelinde öğrenci merkezli öğretim yöntem teknikleri tanımlı süreçler doğrultusunda uygulanmaktadır.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B.2.2. Ölçme ve değerlendirme</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Ölçme ve Değerlendirme</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Öğrenci merkezli ölçme ve değerlendirme, yetkinlik ve performans temelinde yürütülmekte ve öğrencilerin kendini ifade etme olanakları mümkün olduğunca çeşitlendirilmektedir. Ölçme ve değerlendirmenin sürekliliği çoklu sınav olanakları ve bazıları süreç odaklı (formatif) ödev, proje, portfolyo gibi yöntemlerle sağlanmaktadır. Ders kazanımlarına ve eğitim türlerine (örgün, uzaktan, karma) uygun sınav yöntemleri planlamakta ve uygulanmaktadır. Sınav uygulama ve güvenliği (örgün/çevrimiçi sınavlar, dezavantajlı gruplara yönelik sınavlar) mekanizmaları bulunmaktadır. Ölçme ve değerlendirme uygulamalarının zaman ve kişiler arasında tutarlılığı ve güvenirliği sağlanmaktadır. Birim, ölçme değerlendirme yaklaşım ve olanaklarını öğrenci-öğretim elemanı geri bildirimine dayalı biçimde iyileştirmektedir Bu iyileştirmelerin duyurulması, uygulanması, kontrolü, hedeflerle uyumu ve alınan önlemler irdelenmektedir.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 xml:space="preserve">Ana Bilim dalında öğrenciler ile öğretim elemanları arasında açık bir iletişim bulunmakta ve bu durum öğrencilerin kuruma aidiyet duygusunu olumlu yönde etkilemektedir. Bu çerçevede, ölçme-değerlendirme </w:t>
      </w:r>
      <w:r w:rsidRPr="005157DD">
        <w:rPr>
          <w:rFonts w:ascii="Calibri Light" w:eastAsia="Times New Roman" w:hAnsi="Calibri Light" w:cs="Calibri Light"/>
          <w:i/>
          <w:iCs/>
          <w:color w:val="464E5F"/>
          <w:lang w:eastAsia="tr-TR"/>
        </w:rPr>
        <w:lastRenderedPageBreak/>
        <w:t>süreçlerine ilişkin öğrenci geri bildirimleri, “açık kapı” gibi yapılandırılmamış iletişim kanalları ve ders sonu değerlendirme anketleri aracılığıyla alınmaktadır. Anket sonuçları bölüm başkanları tarafından öğretim elemanlarına iletilmekte ve öğretim elemanlarından öz değerlendirme yaparak gerekli güncellemeleri gerçekleştirmeleri beklenmektedir. Ayrıca bazı derslerde, öğretim elemanlarının talebi doğrultusunda standart ders değerlendirme anketlerine ek olarak özel hazırlanmış anketler de kullanılarak ölçme-değerlendirme dahil öğretim sürecinin farklı boyutlarına dair geri bildirimler alınmaktadır.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Programların genelinde öğrenci merkezli ve çeşitlendirilmiş ölçme ve değerlendirme uygulamaları bulunmaktadır.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B.2.3. Öğrenci kabulü, önceki öğrenmenin tanınması ve kredilendirilmesi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Öğrenci kabulü, önceki öğrenmenin tanıması ve kredilendirilmesi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 önlisans, lisans ve lisansüstü programlarına kayıt ve kabul koşulları, ilgili yönetmelik, yönerge ve uygulama esasları çerçevesinde açık biçimde belirlenmiş ve uygulanmaktadır. Bu kapsamda “Aksaray Üniversitesi Lisansüstü Eğitim-Öğretim Yönetmeliği”, “Aksaray Üniversitesi Uluslararası Öğrencilerin Lisansüstü Programlara Kabul ve Kayıt Yönergesi” ve “Aksaray Üniversitesi Öğrenci Kayıt Kabul İşleri Yönetmeliği” gibi mevzuatlar, üst yasal belge ve ilkelere uygun şekilde hazırlanmıştır ve web sayfaları üzerinden kolayca erişilebilmektedir. Ayrıca, önceki öğrenmenin (örgün, yaygın, uzaktan/karma eğitim ve serbest öğrenme yoluyla edinilen bilgi ve becerilerin) tanınması ve kredilendirilmesi yapılmaktadır. Uluslararasılaşma politikasına paralel hareketlilik destekleri, öğrenciyi teşvik, kolaylaştırıcı önlemler bulunmaktadır ve hareketlilikte kredi kaybı olmaması yönünde uygulamalar vardır. Söz konusu mevzuatlar muafiyet ve intibak işlemlerini, yani formal önceki öğrenmelerin tanınmasını da düzenlemektedir.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Öğrenci kabulü, önceki öğrenmenin tanınması ve kredilendirilmesine ilişkin süreçler izlenmekte, iyileştirilmekte ve güncellemeler ilan edilmektedir.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B.2.4. Yeterliliklerin sertifikalandırılması ve diploma</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Yeterliklerin sertifikalandırılması ve diploma</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 Dalında, yeterliliklerin onayı, mezuniyet koşulları ve mezuniyet karar süreçleri açık, anlaşılır, kapsamlı ve tutarlı biçimde tanımlanmış ve kamuoyuyla paylaşılmıştır. Özellikle diplomaların dağıtımına ilişkin olarak yayımlanan “Mezun Öğrencilere Verilecek Belgelerin Düzenlenmesine İlişkin Yönerge” çerçevesinde uygulamalar yürütülmektedir. Söz konusu yönerge, lisansüstü düzeyde eğitim-öğretimi tamamlayan öğrenciler için diploma, geçici mezuniyet belgesi ile diploma defterlerinin düzenlenmesine ilişkin esasları kapsamaktadır.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Uygulamalar izlenmekte ve tanımlı süreçler iyileştirilmektedir.</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B.3. Öğrenme Kaynakları ve Akademik Destek Hizmetleri</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B.3.1. Öğrenme ortam ve kaynakları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Öğrenme Kaynakları ve Akademik Destek Hizmetleri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B.3.1. Öğrenme ortam ve kaynakları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Aksaray Üniversitesinde hem yüz yüze hem de uzaktan öğrenme süreçlerinde kullanılmak üzere fiziksel mekanlar, öğretim yönetim sistemi ve sanal sınıf yazılımları kullanılmaktadır. Öğrencilerin; öğrenci-öğretim elemanı ve öğrenci-materyal etkileşimi uzaktan öğretim teknolojileri ve ASUZEM üzerinden sürdürülmektedir.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Üniversite akademik birimlerinde bilgisayar, projeksiyon, fotoğraf makinesi, akıllı tahta, ses sistemi, e-kitap, kütüphane veri tabanları, çoklu ortam cihazları vb. kaynaklar kullanılmaktadır. Üniversite kütüphanesinde öğrencilerin genel kullanımına açık çalışma alanları ile fakültelerin bünyelerinde de öğrencilere yönelik özel çalışma alanları mevcuttur. Saha ziyaretleri sırasında öğrencilerle yapılan görüşmelerde, laboratuvarda bulunan bilgisayarların bazı uygulamaları yüklemek için yeterli olmadığı, bazı amfilerde ısınma açısından sorun olduğu, kütüphanede kolonlardaki prizlerin yetersiz olduğu belirtilmiştir. Kurum genelinde öğrenme kaynak ve ortamların geliştirilmesine ve kullanımına yönelik izleme ve iyileştirme çalışmalarının gerekliliği bulunmaktadır.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lastRenderedPageBreak/>
        <w:t>Olgunluk Düzeyi: </w:t>
      </w:r>
      <w:r w:rsidRPr="005157DD">
        <w:rPr>
          <w:rFonts w:ascii="Calibri Light" w:eastAsia="Times New Roman" w:hAnsi="Calibri Light" w:cs="Calibri Light"/>
          <w:color w:val="464E5F"/>
          <w:lang w:eastAsia="tr-TR"/>
        </w:rPr>
        <w:t>3 - Kurumun genelinde öğrenme kaynaklarının yönetimi alana özgü koşullar, erişilebilirlik ve birimler arası denge gözetilerek gerçekleştirilmektedir.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B.3.2. Akademik destek hizmetleri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Akademik destek hizmetleri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Aksaray Üniversitesinde; öğrencilere lisansüstü düzeyde akademik danışmanlıklar öğretim üyeleri tarafından eğitim-öğretim sınav yönetmelikleri çerçevesinde yürütülmektedir. Öğrencilerin danışmanlarına yüz yüze ve çevrimiçi olarak erişim olanakları bulunmaktadır. Programa yeni başlayan öğrencilerin adaptasyonlarını kolaylaştırmak ve öğrenimleri süresince ihtiyaç duyabilecekleri akademik bilgilere erişimi sağlayabilmek amacıyla yüksek lisans oryantasyon eğitimleri düzenlenmektedir. Öğrenci Bilgi Sistemi (OBS) mesajlaşma modülü, e-posta, sosyal medya gibi iletişim kanalları akademik danışmanlık süreçlerinde kullanılmakta ve akademik süreçlere yönelik soruların ve yanıtların bulunduğu Sıkça Sorulan Sorular (SSS) hizmeti Üniversite web sayfasında yer almaktadır.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Kurumda öğrencilerin akademik gelişim ve kariyer planlamasına yönelik destek hizmetleri tanımlı ilke ve kurallar dahilinde yürütülmektedir.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B.3.3. Tesis ve altyapılar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Tesis ve Altyapılar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Tesis ve altyapılar (yemekhane, yurt, teknoloji donanımlı çalışma alanları; sağlık, ulaşım, bilişim hizmetleri, uzaktan eğitim altyapısı) ihtiyaca uygun nitelik ve niceliktedir, erişilebilirdir ve öğrencilerin bilgisine/kullanımına sunulmuştur. Tesis ve altyapıların kullanımı irdelenmektedir. Üniversitemiz yerleşkesi içerisinde bulunan Sosyal Tesis bünyesinde; 100 kişilik kapalı ve 50 kişilik açık alan (teras bölümü) olmak üzere toplam 150 kişilik Alakart Restoran, 250 kişilik kapalı ve 100 kişilik açık alan olmak üzere toplam 350 kişilik Akademik Personel Yemekhanesi, 450 kişilik İdari Personel Yemekhanesi ve 500 kişilik de Öğrenci Yemekhanesi bulunmaktadır. Yemekhanelerin haricinde tüm fakülte ve yüksekokullarda bulunan kafeteryalar, sıhhî koşullarda ve uygun fiyatlarla öğrencilerimize hizmet vermektedir.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Üniversitemizin önde gelen amaçlarından birisi de, öğrenim gören öğrencilerin ders dışında vakitlerini en iyi şekilde değerlendirmelerini sağlamak, kültür ve sanata yönelik etkinlikler düzenleyerek onların bu etkinliklere katılmalarını temin etmektir. Aynı zamanda bu tür katılımların eğitimin bir parçası olduğuna inanılmaktadır.  Bu anlamda öğrencilerimiz için Konserler, Halk Oyunları, Tiyatro ve benzeri alanlarda yeteneklerine göre etkinlikler düzenlenmektedir. Bu etkinlikler genelde öğrenci kulüpleri aracılığı ile yapılmaktadır. Ayrıca çeşitli kulüplerin aktiviteleri arasında, Satranç Turnuvası, Film Gösterimleri, Kuş Gözlem Gezileri, Bilişim Haftası etkinlikleri de bulunmaktadır. Üniversitemizce belirli gün ve haftalarda sempozyum, panel, konferans, sergi gerçekleştirilmekte, piknik turizm ve eğitim amaçlı gezilerin yanı sıra her yıl Bahar Şenlikleri, Yaz Kampları düzenlenmektedir.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Tesis ve altyapının kullanımı izlenmekte ve ihtiyaçlar doğrultusunda iyileştirilmektedir.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B.3.4. Dezavantajlı gruplar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Dezavantajlı Gruplar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Dezavantajlı, kırılgan ve az temsil edilen grupların (engelli, yoksul, azınlık, göçmen vb.) eğitim olanaklarına erişimi eşitlik, hakkaniyet, çeşitlilik ve kapsayıcılık ilkeleri doğrultusunda sağlanmaktadır. Uzaktan eğitim altyapısı, bu grupların ihtiyaçları dikkate alınarak oluşturulmuştur. Üniversite yerleşkelerinde, gereksinimler doğrultusunda engelsiz üniversite uygulamaları yürütülmektedir. Bu grupların eğitim olanaklarına erişimi düzenli olarak izlenmekte, alınan geri bildirimler doğrultusunda sürekli iyileştirmeler yapılmaktadır.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Dezavantajlı grupların eğitim olanaklarına erişimine ilişkin uygulamalar yürütülmektedir.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B.3.5. Sosyal, kültürel, sportif faaliyetler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lastRenderedPageBreak/>
        <w:t>Sosyal, kültürel ve sportif faaliyetler</w:t>
      </w:r>
    </w:p>
    <w:p w:rsidR="005157DD" w:rsidRDefault="005157DD" w:rsidP="005157DD">
      <w:pPr>
        <w:spacing w:after="0" w:line="240" w:lineRule="auto"/>
        <w:jc w:val="both"/>
        <w:rPr>
          <w:rFonts w:ascii="Calibri Light" w:eastAsia="Times New Roman" w:hAnsi="Calibri Light" w:cs="Calibri Light"/>
          <w:i/>
          <w:iCs/>
          <w:color w:val="464E5F"/>
          <w:lang w:eastAsia="tr-TR"/>
        </w:rPr>
      </w:pPr>
      <w:r w:rsidRPr="005157DD">
        <w:rPr>
          <w:rFonts w:ascii="Calibri Light" w:eastAsia="Times New Roman" w:hAnsi="Calibri Light" w:cs="Calibri Light"/>
          <w:i/>
          <w:iCs/>
          <w:color w:val="464E5F"/>
          <w:lang w:eastAsia="tr-TR"/>
        </w:rPr>
        <w:t>Öğrenci topluluklarının yürüttüğü sosyal, kültürel ve sportif etkinlikler için uygun mekân, bütçe ve rehberlik desteği sağlanmaktadır. Ayrıca bu faaliyetlerin yürütülmesi ve yönetilmesinden sorumlu bir idari yapı bulunmaktadır. Gerçekleştirilen etkinlikler düzenli olarak izlenmekte ve belirlenen ihtiyaçlara göre sürekli olarak geliştirilmektedir. Üniversitemiz yerleşkesi içerisinde bulunan Sosyal Tesis bünyesinde; 100 kişilik kapalı ve 50 kişilik açık alan (teras bölümü) olmak üzere toplam 150 kişilik Alakart Restoran, 250 kişilik kapalı ve 100 kişilik açık alan olmak üzere toplam 350 kişilik Akademik Personel Yemekhanesi, 450 kişilik İdari Personel Yemekhanesi ve 500 kişilik de Öğrenci Yemekhanesi bulunmaktadır. Yemekhanelerin haricinde tüm fakülte ve yüksekokullarda bulunan kafeteryalar, sıhhî koşullarda ve uygun fiyatlarla öğrencilerimize hizmet vermektedir. Üniversitemizin önde gelen amaçlarından birisi de, öğrenim gören öğrencilerin ders dışında vakitlerini en iyi şekilde değerlendirmelerini sağlamak, kültür ve sanata yönelik etkinlikler düzenleyerek onların bu etkinliklere katılmalarını temin etmektir. Aynı zamanda bu tür katılımların eğitimin bir parçası olduğuna inanılmaktadır.  Bu anlamda öğrencilerimiz için Konserler, Halk Oyunları, Tiyatro ve benzeri alanlarda yeteneklerine göre etkinlikler düzenlenmektedir. Bu etkinlikler genelde öğrenci kulüpleri aracılığı ile yapılmaktadır. Ayrıca çeşitli kulüplerin aktiviteleri arasında, Satranç Turnuvası, Film Gösterimleri, Kuş Gözlem Gezileri, Bilişim Haftası etkinlikleri de bulunmaktadır. Üniversitemizce belirli gün ve haftalarda sempozyum, panel, konferans, sergi gerçekleştirilmekte, piknik turizm ve eğitim amaçlı gezilerin yanı sıra her yıl Bahar Şenlikleri, Yaz Kampları düzenlenmektedir. Aksaray Üniversitesi Öğrenci Toplulukları, öğrencilerimizin kişisel ve mesleki gelişmelerine katkıda bulunurken, hobilerini gerçekleştirerek, sosyal ortamlarda daha katılımcı olmalarını sağlamaktadır. Yıl boyunca faaliyetlerini sürdüren Öğrenci Toplulukları ile üniversite öğrencilerimizin iş yaşamına hazırlanma sürecinde bilgi donanımının ve sosyal yönlerinin gelişmesi amaçlanmaktadır. Öğrencilerimizi üniversitenin sanat ve proje temelli eğitim anlayışı sonucunda çevreye ve yaşama duyarlı, araştıran, toplumsal sorumluluk bilinciyle hareket edebilen, bilimin tek rehber olduğuna inanmış, yaratıcı Türk aydınları olarak mezun olmaktadır. Bu kapsamda öğrencilerimize oldukça geniş bir yelpazede, ilgi alanlarına göre seçim yapma olanağı sunulmaktadır. Mesleklerine ve özel ilgi alanlarına yönelik 72 öğrenci topluluğu bulunmaktadır ve öğrecilerimizin istekleri doğrultusunda yenileri eklenmektedir.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Sosyal, kültürel ve sportif faaliyet mekanizmaları izlenmekte, ihtiyaçlar/talepler doğrultusunda faaliyetler çeşitlendirilmekte ve iyileştirilmektedir.</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B.4. Öğretim Kadrosu</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B.4.1. Atama, yükseltme ve görevlendirme kriterleri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B.4.1. Atama, yükseltme ve görevlendirme kriterleri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 xml:space="preserve">Öğretim elemanlarının ilk atamaları, yeniden atamaları ve görevde yükseltilmeleri, kurum tarafından belirlenen ölçütleri içeren “Aksaray Üniversitesi Akademik Yükseltilme ve Atanma Yönergesi” çerçevesinde gerçekleştirilmektedir. Bu yönergede, alanlara özgü uyarlamalara yer verilmiş olup, çalışmaların puanlanma esasları ile başvuru, değerlendirme ve karar süreçleri ayrıntılı biçimde açıklanmıştır. Ayrıca yönerge, kamu erişimine açık olarak üniversitenin web sayfasında yayımlanmaktadır. Dışarıdan ders vermek üzere görevlendirilen öğretim elemanlarının seçimi ve davet edilme süreçleri, 2547 sayılı Yükseköğretim Kanunu’nun ilgili maddeleri doğrultusunda yürütülmektedir. Kurumsal İzleme ve Değerlendirme Raporu’nda (KİDR), bazı birimlerde alan uzmanlığına dayalı ders dağılımlarının her zaman tam olarak sağlanamadığı, bu durumda diğer birimlerden eğitici desteği alınarak eksikliklerin giderildiği belirtilmiştir. Eğitim-öğretim kadrosunun, ders içerikleriyle uyumlu bir şekilde yapılandırılması amacıyla 2020 yılında akademik ve idari personel için işgücü envanteri hazırlanmış; tüm personelin temel ve alan dışı yeterlilikleri kayıt altına alınmıştır. Görevlendirmelerin takibi ve eğitim-öğretim faaliyetlerinin denetimi, 2547 sayılı Kanun’un 21. maddesi uyarınca bölüm başkanları tarafından yürütülmektedir. Bu süreçte, öğrenci ders değerlendirme anketlerinin sonuçlarından da yararlanıldığı; anket sonuçlarının öğretim üyeleriyle paylaşıldığı ve özdeğerlendirme yapmalarının istendiği ifade edilmiştir. Ancak, bu özdeğerlendirme sürecinin sistematik biçimde izlenmesine ve elde edilen sonuçlara göre yapılan iyileştirmelere ilişkin bir bulguya rastlanmamıştır. Ayrıca, kadrolu olmayan öğretim elemanlarının dönem sonlarında performanslarının değerlendirilmesine ve bu doğrultuda iyileştirme yapılmasına yönelik tanımlı bir </w:t>
      </w:r>
      <w:r w:rsidRPr="005157DD">
        <w:rPr>
          <w:rFonts w:ascii="Calibri Light" w:eastAsia="Times New Roman" w:hAnsi="Calibri Light" w:cs="Calibri Light"/>
          <w:i/>
          <w:iCs/>
          <w:color w:val="464E5F"/>
          <w:lang w:eastAsia="tr-TR"/>
        </w:rPr>
        <w:lastRenderedPageBreak/>
        <w:t>sürecin bulunmadığı gözlemlenmiştir. Kurum, ders yükü dağılımlarını şeffaf bir şekilde gerçekleştirmektedir. Bu durum, birimlerin web sayfalarında yer alan ders programları ve ders yükü dağılım tablolarında açıkça görülmekte olup, genel olarak kurum çapında dengeli bir dağılım sağlandığı anlaşılmaktadır.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Atama, yükseltme ve görevlendirme uygulamalarının sonuçları izlenmekte ve izlem sonuçları değerlendirilerek önlemler alınmaktadır.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B.4.2. Öğretim yetkinlikleri ve gelişimi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B.4.2. Öğretim yetkinlikleri ve gelişimi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Üniversitenin aktif öğrenme ve öğretim yetkinliğinin arttırılmasına yönelik olarak Aksaray Üniversitesi Uzaktan Eğitim Uygulama ve Araştırma Merkezi tarafından öğretim üyelerine öğrencilerin etkin öğrenmeleri için eğitimler verilmektedir. Verilen eğitimlerin kayıtları YouTube kanalından da takip edilebilmektedir. Bu eğitimlerin birim akreditasyonlarında önemli katkısı olduğu gözlemlenmiştir. Ayrıca, öğretim elemanlarının eğitime yönelik yetkinliklerinin geliştirilmesi görevi, Eğitim-Öğretim Kalite Alt Komisyonu tarafından yürütülmektedir. Komisyon üyelerinin büyük çoğunluğunun program geliştirme ve ölçme-değerlendirme alanlarında uzman olması, bu görevi etkin biçimde yerine getirebilecek yeterliliğe sahip olduklarını göstermektedir. Eğiticilerin Eğitimi Programı’nın düzenli ve sürdürülebilir biçimde tekrar edilmesi ile buna ek olarak yürütülen diğer eğitim faaliyetleri, kurumun öğretim yetkinliklerini geliştirme konusundaki istekliliğini ve kararlılığını göstermekte; bu durum kurumun güçlü yönlerinden biri olarak değerlendirilmektedir. Bununla birlikte, öğretim yetkinliklerinin geliştirilmesine yönelik faaliyetlerde analiz, izleme ve iyileştirme süreçlerinin sistematik biçimde tanımlanmamış olması, gelişmeye açık bir alan olarak görülmüştür.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öğretim elemanlarının öğretim yetkinliğini geliştirmek üzere uygulamalar vardır.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B.4.3. Eğitim faaliyetlerine yönelik teşvik ve ödüllendirme</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B.4.3. Eğitim faaliyetlerine yönelik teşvik ve ödüllendirme</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Kurumda, eğitim-öğretimde kaliteyi ve yeniliği teşvik etmek ile başarılı uygulamaları ödüllendirmek amacıyla bir sistem öngörülmüştür. Bu sistemin sürdürülebilirliğini güvence altına almak için 2021 yılında “Aksaray Üniversitesi Akademik Personel Performans Değerlendirme Yönergesi” hazırlanmış ve yürürlüğe konulmuştur. Yönergenin temel amacı, kurumda görev yapan akademik ve idari personel ile öğrencilerin ve ayrıca kurum dışındaki kişi ve kuruluşların, olağanüstü çabaları, üstün performansları ve emsallerine göre gösterdikleri başarıların ödüllendirilmesi esaslarını düzenlemektir. Yönerge kapsamında eğitim-öğretim faaliyetlerine yönelik olarak “Teşekkür Belgesi”, “Tebrik Yazısı”, “Üstün Başarı Belgesi” ve “Nakdi Ödül” gibi çeşitli ödüllerin verilebileceği belirtilmiştir. Bu yönergenin varlığı, kurumun güçlü yönlerinden biri olarak değerlendirilmiştir. Yönergeye dayanarak her yıl kriterleri karşılayan akademik ve idari personellere başarı ödülü verilmektedir.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Örnek Kanıtlar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Teşvik ve ödül uygulamaları izlenmekte ve iyileştirilmektedir.</w:t>
      </w:r>
    </w:p>
    <w:p w:rsidR="005157DD" w:rsidRPr="005157DD" w:rsidRDefault="005157DD" w:rsidP="005157DD">
      <w:pPr>
        <w:spacing w:after="100" w:afterAutospacing="1" w:line="240" w:lineRule="auto"/>
        <w:jc w:val="both"/>
        <w:outlineLvl w:val="0"/>
        <w:rPr>
          <w:rFonts w:ascii="Calibri Light" w:eastAsia="Times New Roman" w:hAnsi="Calibri Light" w:cs="Calibri Light"/>
          <w:color w:val="464E5F"/>
          <w:kern w:val="36"/>
          <w:lang w:eastAsia="tr-TR"/>
        </w:rPr>
      </w:pPr>
      <w:r w:rsidRPr="005157DD">
        <w:rPr>
          <w:rFonts w:ascii="Calibri Light" w:eastAsia="Times New Roman" w:hAnsi="Calibri Light" w:cs="Calibri Light"/>
          <w:b/>
          <w:bCs/>
          <w:color w:val="464E5F"/>
          <w:kern w:val="36"/>
          <w:lang w:eastAsia="tr-TR"/>
        </w:rPr>
        <w:t>C.ARAŞTIRMA VE GELİŞTİRME</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C.1. Araştırma Süreçlerinin Yönetimi ve Araştırma Kaynakları</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C.1.1. Araştırma süreçlerinin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Araştırma Süreçlerinin Yönetimi ve Araştırma Kaynaklar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Bu başlık altında, birimin araştırma-geliştirme ve ihtisaslaşma süreçleri ile bu süreçlerin değerlendirmesi ele alınacaktır. Birimimizde, araştırmaya yönelik gelişim odağı ile hedefler belirlenmiş ve bu hedeflerin gerçekleştirilmesi için görevliler tanımlanmıştır. Araştırma faaliyetlerinin gerçekleşme durumu ile nicelik ve niteliği izlenmekte, ulaşılan sonuçlar kontrol edilmektedir. İhtiyaç duyulan hallerde yeni hedefler belirlenmekte ve iyileştirilmeler yapılmaktadır.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lastRenderedPageBreak/>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 araştırma faaliyetlerini Aksaray Üniversitesi stratejik planı çerçevesinde belirlenen akademik öncelikleri dikkkate alarak yerel, bölgesel ve ulusal kalkınma hedefleriyle uyumlu, değer üretebilen ve toplumsal katkı sağlayacak şekilde yönetmektedir. Ancak, bu faaliyetlerin planlanması ve yürütülmesi için gerekli mali kaynaklar ve yeni ulusal/uluslararası ortaklıklar oluşturmak ve bunları etkin şekilde kullanabilmek için planlamaya gereksinim duymaktadır.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C.1.1. Araştırma süreçlerinin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xml:space="preserve">Aksaray Üniversitesi'nin (ASÜ) araştırma süreçlerinin yönetimi, Kurumun Bilimsel Araştırma Projeleri (BAP) Koordinasyon Birimi tarafından yürütülmektedir. Birimde 1 Koordinatör, 1 Şube Müdürü ve 3 İdari personel mevzuata uygun bir şekilde etkin ve verimli çalışmak için gayret sarf etmektedir. Yürütülmekte olan bilimsel araştırma projeleri için, 2547 Kanun Sayılı Yükseköğretim Kanunu’nda belirtilen usul ve esaslar dikkate alınarak, 16 Temmuz 2020 tarihli Resmi Gazete’de yayınlanan 31187 Sayılı Yükseköğretim Kurumları Bilimsel Araştırma Projeleri Hakkında Yönetmelikte Değişiklik Yapılmasına Dair Yönetmelik ile birlikte, 30.11.2022 tarihli 2022/24-01 Aksaray Üniversitesi Bilimsel Araştırma Projeleri Yönergesi esas alınmaktadır. İlgili yönergede beş bölüm yer almaktadır. Birinci Bölüm “Amaç, Dayanak ve Kapsam”a ilişkin bilgiler sunmaktadır. Amaç, “Yönerge, Aksaray Üniversitesi öğretim üyeleri ile doktora, sanatta yeterlik, tıpta uzmanlık, veteriner hekimlikte uzmanlık, diş hekimliğinde uzmanlık ya da eczacılıkta uzmanlık eğitimini tamamlamış araştırmacılar tarafından hazırlanan ve desteklenmesi için Komisyona sunulan bilimsel araştırma projelerinin yürütülmesi ile ilgili süreci kapsar.” şeklinde ifade edilmektedir. İkinci Bölümde, araştırmacı, koordinatör gibi proje sürecinde yer alan paydaşların tanımlaması yer almaktadır. Üçüncü Bölümde ise “Organlar, Görevler, Yetkiler ve Sorumluluklar” başlığı altında Komisyon ve Koordinatör’ün görev ve sorumluluklarına ilişkin bilgiler açıkça ifade edilmektedir. Dördüncü Bölümde, BAP kapsamında ele alınan 11 farklı türde proje tanımlaması yapılmaktadır. Belirtilen proje türleri arasında Cumhurbaşkanlığı Bilim, Teknoloji ve Yenilik Politikaları, YÖK 100/2000 Öncelikli Alanları, TÜBİTAK Öncelikli Alanları ve TÜBİTAK Yetkinlik Analizi ile Üniversite bilim politikasına uygun olarak BAP Komisyonu tarafından belirlenen “Öncelikli Alanlarda” desteklenen projelere yer verilmesi, yönetmeliğin güçlü bir yönüne dikkat çekmektedir. Sonraki Beşinci Bölümde ise “Başvuru, Proje Değerlendirme, Kabul ve Onay” süreçlerine dair bilgi verilmektedir. Son bölümde ise, “Görev alma limitleri, Projelerin yürütülmesi ve İzlenmesi” başlığı altında: görev alma limitleri, ara raporların ve sonuç raporunun teslimi, projelerin süresi ve bütçesi, proje sonuçlarının yayınlanması, telif hakları ve proje araç-gereçlerinin kullanımı ile projelerin durdurulması ve iptali ile projelerin muhafazasına ilişkin bilgilere yer verilmiştir. Bu bölümde belirtildiği üzere, Aksaray Üniversitesi öğretim elemanları, aynı anda en fazla 3 (üç) projede herhangi bir sıfatla görev alabilir. Bu sınırlama, Üniveristemizin bütçesi dahilinde, akademik personele eşit fırsat tanıması bakımından önemlidir. Bunun yanı sıra 68005-Patent Destek Projesi, 68008-Güdümlü Proje ve 68009-Bölgesel Kalkınma Odaklı Misyon Farklılaşması ve İhtisaslaşma Projeleri görev alma limitleri kapsamı dışındadır. Belirtilen projelerin bu limitler haricinde tutulması ise Üniveristemiz bünyesinde yürütülen eğitim-öğretim faaliyetlerinin iyileşmesi açısından önem taşımaktadır. Özellikle, 68009 kodlu projenin YÖK ve Cumhurbaşkanlığı Strateji ve Bütçe Başkanlığı öncülüğünde desteklenen Üniversitelerin Bölgesel Kalkınma Odaklı Misyon Farklılaşması ve İhtisaslaşması Programı kapsamında Spor ve Sağlık Alanında pilot üniversite olarak seçilen üniversitemizce belirlenen konularda hazırlanacak projeler olması, üniversitemizin kurumsallaşması açısından büyük önem taşımaktadır. Bunların dışında, BAP Koordinasyon Birimi web sayfasında tamamlanmış ve devam eden BAP Projelere, Dış Kaynaklı Projelere ve projelerden üretilen yayınlara erişim sağlanmaktadır. Böylelikle, kurumsal şeffaflık ve hesapverebilirlik ön plana çıkarılmaktadır. Bu bilgiler ışığında, ilgili yönetmeliğin hem başvuran araştırmacı hem de koordinatörlük için takip edilmesi gereken süreçleri açıkça ifade ettiği görülmektedir. Ara raporlar ve sonuç raporuna ilişkin sunulan bilgiler PUKÖ döngüsünde Uygulama aşamasının işlediğine dair kanıt sunmaktadır. Öte yandan, projelerden elde edilen bilimsel çıktıların alan/çalışma bazlı olarak farklı akademik platformlarda yayınlanmasını zorunlu kılması ve bu yayınların birimin web sayfasında kamuoyuyla paylaşılması, sürecin sadece Uygulama ile sınırlı kalmadığına kontrolünün ve takibinin yapıldığını göstermektedir. Bu bağlamda değerlendirilebelecek bir başka husus ise kontrol ve takibin düzenli işleyişini sağlamak amacıyla </w:t>
      </w:r>
      <w:r w:rsidRPr="005157DD">
        <w:rPr>
          <w:rFonts w:ascii="Calibri Light" w:eastAsia="Times New Roman" w:hAnsi="Calibri Light" w:cs="Calibri Light"/>
          <w:color w:val="464E5F"/>
          <w:lang w:eastAsia="tr-TR"/>
        </w:rPr>
        <w:lastRenderedPageBreak/>
        <w:t>oluşturulabilecek alt komisyonlara ve komisyonların işleyişine dair bilgi verilmiş olmasıdır. Yönetmelikte belirtildiği üzere, Alt Komisyonlar, gerekli görüldüğü takdirde, proje süreçleri ile ilgili ihtiyaç duyulan konularda BAP Komisyonunun çalışmalarına katkı sağlamak amacıyla Rektör tarafından görevlendirilen ve alanında özgün araştırmaları ile tanınan yeter sayıda öğretim üyesinden oluşur ve üniversite dışından araştırmacılar da alt komisyonlarda üye olarak görevlendirilebilir. Benzer şekilde, BAP Koordinasyon Biriminin yayınladığı PUKÖ Döngüsü adlı dokümanda, planlamaya dair, birimin “Altyapı Destek Projesi” kapsamında üniversitemiz bazı birimlerinde araştırma altyapısının iyileştirilmesi, kurumsal kimliğimizin oluşturulmasına yönelik çalışmalar ile birlikte yeni araştırma ve uygulama merkezlerinin alt yapısını güçlendirmek için önemli katkılar planlandığı ifade edilmektedir. Ek olarak, Aksaray temalı projelere öncelik vererek, bulunduğumuz şehir ve bölgenin önemli sorunlarına bilimsel çerçevede çözümler üretilebilecek ve katkılar sağlanacak sorunlara yönelik öncelikli proje başlıklarının BAP Koordinasyon Birimi Komisyonunca tartışılarak belirlendiği ve komisyon kararlarına aktarılarak proje çağrılarının yapılması planlandığı ifade edilmektedir. Uygulamaya dönük olarak, proje ve destep tipleri, her yıl Ocak ayı başında “Aksaray Üniversitesi Bilimsel Araştırma Projeleri …. Yılı Proje Destekleme ve Uygulama İlkeleri”nde belirtilmektedir. Öte yandan, projelerden üretilen bilimsel bilginin paylaşımı, yeni işbirliklerinin sağlanması, uygulamaya aktarılabilir projelerin hazırlanması, çeşitli alanlarda bilimsel gelişmelerin paylaşılması kapsamında çeşitli kongre, konferans ve çalıştaylara destek sağlandığı ve sağlanmaya devam ettiğinin altı çizilmektedir. Kontrol Et basamağında kullanılan mekanizma ise ASÜBAP Otomasyon sistemidir. Tamamlanan ve devam eden projelere ilişkin bilgilerin takibi bu sistem üzerinden gerçekleşmektedir. Ayrıca, “Birim Faaliyet Raporları”nda güçlü ve zayıf yanlarımızla birlikte üniversitemiz araştırma profili verileri de belirlenerek önlem almak adına hazırlık yapılmaktadır. Önlem almaya yönelik ise, bilim ve teknoloji dünyasındaki değişimlerle birlikte araştırmacıların farklılaşan ihtiyaçları ile üniversitemiz bilimsel durumu dikkate alınarak uygulama ilkeleri hazırlanmaktadır.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Sonuç olarak, Aksaray Üniversitesi BAP Koordinasyon Birimi tarafından yürütülen bilimsel araştırma proje süreçlerinin, ilgili mevzuat ve üniversite yönergesi çerçevesinde Planla-Uygula-Kontrol Et-Önlem Al (PUKÖ) döngüsüne uygun biçimde yapılandırıldığı görülmektedir. Planlama aşamasında, proje başvuru süreçlerinin kapsamı, türleri ve öncelikli araştırma alanları açık biçimde tanımlanmakta; uygulama aşamasında ise süreçler koordinatörlük ve komisyon tarafından etkin bir şekilde yürütülmektedir. Kontrol aşaması kapsamında projelere ilişkin ara raporlar, sonuç raporları ve görev alma limitleri düzenli olarak izlenmekte; böylece kaynakların dengeli ve adil kullanımına yönelik bir sistematik oluşturulmaktadır. Son olarak, değerlendirme sonuçlarına bağlı olarak gerekli iyileştirme ve geliştirme adımları atılmakta, özellikle bölgesel kalkınma odaklı misyon farklılaşması kapsamında üniversitemize özgü stratejik alanlarda kurumsal kapasitenin güçlendirilmesine önem verilmektedir. Bu bütünsel yaklaşım, üniversitemizin akademik üretkenliğinin sürdürülebilirliğine ve araştırma kültürünün kurumsallaşmasına önemli katkı sağlamaktadır.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Sosyal Bilimler Enstitüsü tarafından EBYS üzerinden gönderilen “Akademik Personel Performans İzleme ve Hedef Formu”, öğretim elemanlarının yıllık yayın, proje, bilimsel etkinlik ve benzeri akademik hedeflerini belirlemelerine ve yıl sonunda gerçekleşen faaliyetlerini raporlamalarına imkân tanımaktadır (Kanıt C.1.1.3). Tüm öğretim elemanlarının bu formu doldurması, bireysel akademik gelişimin sistematik izlenmesine yönelik dolaylı ancak etkili bir mekanizma işlevi görmektedir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Üniversitemiz genelinde izlenen kurumsallaşma adımlarının etkisi birimizde de görülmektedir. Birimimizde, 2024-2025 yılına ait veriler incelendiğinde, Dr. Öğr. Üyesi Özlem Fatma Yıldırım Taştı’nın dahil olduğu Youth Leadership and Empowerment through Active Participation (YOUTH-LEAP) Erasmus + KA220-YOU - Cooperation partnerships in youth (KA220-YOU) projesi 01/10/2024 tarihinde başlamıştır. Proje 31/12/2026 tarihinde sona erecektir.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Eğitim Bilimleri Anabilim Dalı içinde değerlendirme toplantılarının yapılması, ortak araştırma çalışma gruplarının oluşturulması, BAP ve TÜBİTAK proje başvurularının artırılması, ulusal ve uluslararası kurumlarla araştırma temelli resmî iş birliklerinin geliştirilmesi gelişime açık alanlar olarak belirlenmiştir.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4 - Kurumda araştırma süreçlerinin yönetimi ve organizasyonel yapısının işlerliği ile ilişkili sonuçlar izlenmekte ve önlemler alınmaktadır.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C.1.2. İç ve dış kaynaklar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lastRenderedPageBreak/>
        <w:t>C.1.2. İç ve dış kaynaklar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Dalının fiziki, teknik ve mali araştırma kaynakları misyon, hedef ve stratejileriyle uyumlu ve yeterlidir. Kaynakların çeşitliliği ve yeterliliği izlenmekte ve iyileştirilmektedir. Araştırmaya yeni başlayanlar için üniversite içi çekirdek fonlar vardır ve erişimi kolaydır. Araştırma potansiyelini geliştirmek üzere proje, konferans katılımı, seyahat, uzman daveti destekleri, kişisel fonlar, motivasyonu arttırmak üzere ödül ve rekabetçi yükseltme kriterleri vardır. Üniversite içi kaynakların yıllar içindeki değişimi; bu imkanların etkinliği, yeterliliği, gelişime açık yanları, beklentileri karşılama düzeyi değerlendirilmektedir. </w:t>
      </w:r>
      <w:r w:rsidRPr="005157DD">
        <w:rPr>
          <w:rFonts w:ascii="Calibri Light" w:eastAsia="Times New Roman" w:hAnsi="Calibri Light" w:cs="Calibri Light"/>
          <w:color w:val="464E5F"/>
          <w:lang w:eastAsia="tr-TR"/>
        </w:rPr>
        <w:t>Aksaray Üniversitesi 2025-2029 Stratejik Planı’nda belirtildiği üzere kurumuzda Yükseköğretim hedefleriyle uyumlu olacak şekilde, akademik personelin niteliğini ve araştırma faaliyetlerini artıracak imkanlara odaklanılmıştır. Stratejik planlama süreci, Aksaray Üniversitesi Rektörü Prof. Dr. Alpay ARIBAŞ imzalı, 07.09.2023 tarih ve 860305 sayılı (2023/1 Nolu) Genelgenin yayımlanmasına müteakip başlatılmıştır. Cumhurbaşkanlığı Strateji Bütçe Başkanlığı tarafından hazırlanan, “Üniversiteler İçin Stratejik Plan Hazırlama Rehberi” (2021/1.1 sürüm) doğrultusunda, 05.09.2023 tarih ve 859472 sayılı Rektörlük makamı oluru ile Başkanlığını Rektör Prof. Dr. Alpay ARIBAŞ’ın yürüttüğü Yönetim Kurulu üyeleri ile Genel Sekreterden oluşan “Strateji Geliştirme Kurulu” oluşturulmuş, kurul üye isimleri 2023/1 No’lu Genelge eki olarak tüm birimlere duyurulmuştur (bknz. </w:t>
      </w:r>
      <w:hyperlink r:id="rId20" w:history="1">
        <w:r w:rsidRPr="005157DD">
          <w:rPr>
            <w:rFonts w:ascii="Calibri Light" w:eastAsia="Times New Roman" w:hAnsi="Calibri Light" w:cs="Calibri Light"/>
            <w:color w:val="3699FF"/>
            <w:lang w:eastAsia="tr-TR"/>
          </w:rPr>
          <w:t>https://ogris.aksaray.edu.tr/dosya/11b94cdb-e09e-43e9-b931-e8d829acf6b7.pdf</w:t>
        </w:r>
      </w:hyperlink>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ASÜ, 2025-2029 yıllarını kapsayan Stratejik Plan’ında belirtildiği üzere, akademisyenlerin üretim pratiklerini ve ihtisaslaşmalarına katkı sağlayacak imkanların artırılması öncelikli hedefler arasında yer almıştır.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21" w:history="1">
        <w:r w:rsidRPr="005157DD">
          <w:rPr>
            <w:rFonts w:ascii="Calibri Light" w:eastAsia="Times New Roman" w:hAnsi="Calibri Light" w:cs="Calibri Light"/>
            <w:color w:val="3699FF"/>
            <w:lang w:eastAsia="tr-TR"/>
          </w:rPr>
          <w:t>https://egitim.aksaray.edu.tr/egiticilerin-egitimi-sertifika-programi-tamamlandi</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 öğretim üyelerinden Doç Dr. M. Emir Rüzgar’ın koordinatörlüğünde düzenlenen Eğiticilerin Eğitimi sertifika programında Doç. Dr. Yalçın Dilekli de eğitim vermiştir.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 araştırma ve geliştirme kaynaklarını araştırma stratejisi ve birimler arası dengeyi gözeterek yönetmektedir.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C.1.3. Doktora programları ve doktora sonrası imkanlar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C.1.3. Doktora programları ve doktora sonrası imkanlar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Dalında, </w:t>
      </w:r>
      <w:r w:rsidRPr="005157DD">
        <w:rPr>
          <w:rFonts w:ascii="Calibri Light" w:eastAsia="Times New Roman" w:hAnsi="Calibri Light" w:cs="Calibri Light"/>
          <w:color w:val="464E5F"/>
          <w:lang w:eastAsia="tr-TR"/>
        </w:rPr>
        <w:t>doktora programı açma için geerekli şartları sağlayan bilim dalları mevcuttur. Ekte sunulan belgelere rağmen YÖK tarafından gerekli izin alınamıştır</w:t>
      </w:r>
      <w:r w:rsidRPr="005157DD">
        <w:rPr>
          <w:rFonts w:ascii="Calibri Light" w:eastAsia="Times New Roman" w:hAnsi="Calibri Light" w:cs="Calibri Light"/>
          <w:b/>
          <w:bCs/>
          <w:color w:val="464E5F"/>
          <w:lang w:eastAsia="tr-TR"/>
        </w:rPr>
        <w:t>.</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2 - Kurumun araştırma politikası, hedefleri ve stratejileri ile uyumlu doktora programı ve doktora sonrası imkanlarına ilişkin planlamalar bulunmaktadır.</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C.2. Araştırma Yetkinliği, İş birlikleri ve Destekler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C.2.1. Araştırma yetkinlikleri ve gelişimi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C.2. Araştırma Yetkinliği, İş birlikleri ve Destekler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C.2.1. Araştırma yetkinlikleri ve gelişimi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Her ne kadar </w:t>
      </w:r>
      <w:r w:rsidRPr="005157DD">
        <w:rPr>
          <w:rFonts w:ascii="Calibri Light" w:eastAsia="Times New Roman" w:hAnsi="Calibri Light" w:cs="Calibri Light"/>
          <w:i/>
          <w:iCs/>
          <w:color w:val="464E5F"/>
          <w:lang w:eastAsia="tr-TR"/>
        </w:rPr>
        <w:t>Ana Bilim Dalında </w:t>
      </w:r>
      <w:r w:rsidRPr="005157DD">
        <w:rPr>
          <w:rFonts w:ascii="Calibri Light" w:eastAsia="Times New Roman" w:hAnsi="Calibri Light" w:cs="Calibri Light"/>
          <w:color w:val="464E5F"/>
          <w:lang w:eastAsia="tr-TR"/>
        </w:rPr>
        <w:t>doktora programı olmasada</w:t>
      </w:r>
      <w:r w:rsidRPr="005157DD">
        <w:rPr>
          <w:rFonts w:ascii="Calibri Light" w:eastAsia="Times New Roman" w:hAnsi="Calibri Light" w:cs="Calibri Light"/>
          <w:b/>
          <w:bCs/>
          <w:color w:val="464E5F"/>
          <w:lang w:eastAsia="tr-TR"/>
        </w:rPr>
        <w:t> </w:t>
      </w:r>
      <w:r w:rsidRPr="005157DD">
        <w:rPr>
          <w:rFonts w:ascii="Calibri Light" w:eastAsia="Times New Roman" w:hAnsi="Calibri Light" w:cs="Calibri Light"/>
          <w:color w:val="464E5F"/>
          <w:lang w:eastAsia="tr-TR"/>
        </w:rPr>
        <w:t>birim genelinde öğretim elemanlarının araştırma yetkinliğinin geliştirilmesi ne yönelik uygulamalar yürütülmektedir.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öğretim elemanlarının araştırma yetkinliğinin geliştirilmesine yönelik uygulamalar yürütülmektedir.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C.2.2. Ulusal ve uluslararası ortak programlar ve ortak araştırma birimleri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Ulusal ve uluslararası ortak programlar ve ortak araştırma birimleri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xml:space="preserve"> Aksaray Üniversitesi, ulusal ve uluslarararası iş birliklerine önem vermektedir. Bu amaçla, BAP Birimi, ulusal ve uluslararası ortak araştırma projeleri teşvik etmekte ve desteklemektedir. Teşvik ve desteklerin sonuçları, stratejik plan değerlendirme raporları ve birim faaliyet raporları ile izlenmekte, izlem sonuçları doğrultusunda gerekli önlemler alınmaktadır. Ancak, ulusal ve uluslararası araştırma iş birliklerinin iyileştirilmesi ve ilgili tüm </w:t>
      </w:r>
      <w:r w:rsidRPr="005157DD">
        <w:rPr>
          <w:rFonts w:ascii="Calibri Light" w:eastAsia="Times New Roman" w:hAnsi="Calibri Light" w:cs="Calibri Light"/>
          <w:color w:val="464E5F"/>
          <w:lang w:eastAsia="tr-TR"/>
        </w:rPr>
        <w:lastRenderedPageBreak/>
        <w:t>birimlere yaygınlaştırma çalışmalarına devam edilmesi gerekliliği gelişime açık yönümüz olarak ifade edilmektedir (bknz. https://bapbirimi.aksaray.edu.tr/dosya/100bd5d0-d19d-4558-accc-8e2a40859533.pdf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EPÖ birimi özelinde ise, birimler arası iş birliklerini, disiplinler arası girişimleri, sinerji yaratacak ortak girişimleri özendirecek mekanizmaların mevcut ve etkin olduğu söylenebilir. Ortak araştırma, araştırma ağlarına katılım, ulusal ve uluslararası iş birlikleri gibi çoklu araştırma faaliyetleri tanımlanmıştır, desteklenmektedir ve sistematik olarak izlenerek birimin hedefleriyle uyumlu iyileştirmeler gerçekleştirilmektedir.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Üniversitemiz 2025-2029 Stratejik Planı’nda yer aldığı üzere, kurum olarak ulusal ve uluslararası ortaklıklara verilen önem dikkat çekmektedir.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Disiplinlerarası iş birliklerine, birimimiz öğretim üyelerinin Eğitim Bilimleri bünyesinde görev yapan diğer öğretim üyeleri ile yaptıkları çalışmalar örnek verilebilir.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Yıldırım, K., Yenipınar, Ş., &amp; Dilekli, Y. (2024). Reflections of teachers’ self-leadership experiences on teaching leadership skills. </w:t>
      </w:r>
      <w:r w:rsidRPr="005157DD">
        <w:rPr>
          <w:rFonts w:ascii="Calibri Light" w:eastAsia="Times New Roman" w:hAnsi="Calibri Light" w:cs="Calibri Light"/>
          <w:i/>
          <w:iCs/>
          <w:color w:val="464E5F"/>
          <w:lang w:eastAsia="tr-TR"/>
        </w:rPr>
        <w:t>Croatian Journal of Education: Hrvatski časopis za odgoj i obrazovanje, 26</w:t>
      </w:r>
      <w:r w:rsidRPr="005157DD">
        <w:rPr>
          <w:rFonts w:ascii="Calibri Light" w:eastAsia="Times New Roman" w:hAnsi="Calibri Light" w:cs="Calibri Light"/>
          <w:color w:val="464E5F"/>
          <w:lang w:eastAsia="tr-TR"/>
        </w:rPr>
        <w:t>(2), 537-575.</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Ulusal iş birliklerine, birimimiz öğretim üyelerinin diğer üniversitelerde görev yapmakta olan akademisyenlerle yapmış olduğu akademik çalışmalar örnek olarak gösterilebilir.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Altınsoy, E., &amp; Boyraz, S. (2025). Online learning readiness and satisfaction in English as a foreign language at higher education context: the moderating role of engagement. Frontiers in Psychology, 16, 1602117.</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Kucukakin, P. M., Tasti, O. Y., Cobanoglu, R., Gokmenoglu, T., &amp; Akcaoglu, M. O. (2025). Embracing diversity in the classroom: teachers' perceptions on culturally responsive classroom practices in Türkiye. </w:t>
      </w:r>
      <w:r w:rsidRPr="005157DD">
        <w:rPr>
          <w:rFonts w:ascii="Calibri Light" w:eastAsia="Times New Roman" w:hAnsi="Calibri Light" w:cs="Calibri Light"/>
          <w:i/>
          <w:iCs/>
          <w:color w:val="464E5F"/>
          <w:lang w:eastAsia="tr-TR"/>
        </w:rPr>
        <w:t>Education and Urban Society, 57</w:t>
      </w:r>
      <w:r w:rsidRPr="005157DD">
        <w:rPr>
          <w:rFonts w:ascii="Calibri Light" w:eastAsia="Times New Roman" w:hAnsi="Calibri Light" w:cs="Calibri Light"/>
          <w:color w:val="464E5F"/>
          <w:lang w:eastAsia="tr-TR"/>
        </w:rPr>
        <w:t>(7), 699-730.</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Orakcı, Ş. &amp; Khalili, T. (2024). The ımpact of cognitive flexibility on prospective EFL teachers' critical thinking disposition: the mediating role of self-efficacy. </w:t>
      </w:r>
      <w:r w:rsidRPr="005157DD">
        <w:rPr>
          <w:rFonts w:ascii="Calibri Light" w:eastAsia="Times New Roman" w:hAnsi="Calibri Light" w:cs="Calibri Light"/>
          <w:i/>
          <w:iCs/>
          <w:color w:val="464E5F"/>
          <w:lang w:eastAsia="tr-TR"/>
        </w:rPr>
        <w:t>Cognitive Processing, 26</w:t>
      </w:r>
      <w:r w:rsidRPr="005157DD">
        <w:rPr>
          <w:rFonts w:ascii="Calibri Light" w:eastAsia="Times New Roman" w:hAnsi="Calibri Light" w:cs="Calibri Light"/>
          <w:color w:val="464E5F"/>
          <w:lang w:eastAsia="tr-TR"/>
        </w:rPr>
        <w:t>(1), 59–73.</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Uluslararası iş birliklerine ise, birimimizde görev yapan Doç. Dr. Yalçın Dilekli ve Dr. Öğr. Üyesi Serkan Boyraz Erasmus kapsamında Kosova Prizen Üniversitesi’nde verdikleri ders örnek ile Doç. Dr. M. Emir Rüzgar’ın Macaristan’da bulunan Szchenyı Istvan Egyetem’e (Univeristy of Gyor)’de personel ders verme hareketliliği kanıt olarak gösterilebilir.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Örnek Kanıtlar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dalımızdan Doç.dr yalçın Dilekli ve Dr.Öğr. Üyesi Serkan Boyraz Erasmus kapsamında Kosova Prizen Üniversitesinde ders vermişlerdir.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ulusal ve uluslararası düzeyde ortak programlar ve ortak araştırma faaliyetleri yürütülmektedir.</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C.3. Araştırma Performansı</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C.3.1. Araştırma performansının izlenmesi ve değerlendirilmesi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C.3. Araştırma Performansı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 araştırma faaliyetlerini verilere dayalı ve periyodik olarak ölçmekte, değerlendirmekte ve sonuçlarını analiz ederek iyileştirmektedir. Elde edilen bulgular, Ana Bilim Dalının araştırma ve geliştirme performansının periyodik olarak gözden geçirilmesi ve sürekli iyileştirilmesi için kullanılmasına çalışılmaktadır.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C.3.1. Araştırma performansının izlenmesi ve değerlendirilmesi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Ana Bilim Dalı araştırma faaliyetlerini yıllık bazda izlenmekte, değerlendirilmektedir. Hedeflerle karşılaştırılır ve sapmaların nedenleri irdelenmektedir. Ana Bilim dalının odak alanlarının üniversite içi bilinirliği, üniversite dışı bilinirliği; uluslararası görünürlük, uzmanlık iddiası konularının analizi, hedeflerle uyumu sistematik olarak analiz edilir. Performans temelinde teşvik ve takdir mekanizmaları kullanılmaktadır. Rakiplerle rekabet, seçilmiş birimlerle kıyaslama (benchmarking) takip edilir. Performans değerlendirmelerinin sistematik ve kalıcı olması sağlanmaya çalışılmaktadır.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 , Enstitü, Fakülte ve Üniversite ile uyumlu olacak şekilde, yıllık olarak yapılan akademik çalışmalar izlenmekte ve değerlendirilmektedir.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Kanıtlar: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lastRenderedPageBreak/>
        <w:t>Üniversitemizin 2006 yılı ve sonrasında kurulmuş olan 38 üniversite arasından YÖK’e sunulan Öz Değerlendirme Raporu doğrultusunda “Bölgesel Kalkınma Odaklı Misyon Farklılaşması ve İhtisaslaşma Programı” kapsamında seçilen 22 üniversite arasındadır.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22" w:history="1">
        <w:r w:rsidRPr="005157DD">
          <w:rPr>
            <w:rFonts w:ascii="Calibri Light" w:eastAsia="Times New Roman" w:hAnsi="Calibri Light" w:cs="Calibri Light"/>
            <w:color w:val="3699FF"/>
            <w:lang w:eastAsia="tr-TR"/>
          </w:rPr>
          <w:t>(3).C.3.1.1.aksaray_üniversitesi_2025-2029_yılı_stratejik_planı</w:t>
        </w:r>
      </w:hyperlink>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Üniversitemiz, alanında yetkin, bilgi üreten ve bilgiyi paylaşan akademik personelin yetişmesine yönelik imkânların artırılması bağlamında, 2025-2029 yıllarını kapsayacak şekilde toplam 4.709.511.030 TL bütçe ayırmıştır.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23" w:history="1">
        <w:r w:rsidRPr="005157DD">
          <w:rPr>
            <w:rFonts w:ascii="Calibri Light" w:eastAsia="Times New Roman" w:hAnsi="Calibri Light" w:cs="Calibri Light"/>
            <w:color w:val="3699FF"/>
            <w:lang w:eastAsia="tr-TR"/>
          </w:rPr>
          <w:t>(3).C.3.1.2.aksaray_üniversitesi_2025-2029_yılı_stratejik_planı</w:t>
        </w:r>
      </w:hyperlink>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i/>
          <w:iCs/>
          <w:color w:val="464E5F"/>
          <w:lang w:eastAsia="tr-TR"/>
        </w:rPr>
        <w:t>Üniversitemiz tarafından, akademik performans değerlendirme işlemleri, Akademik Performans Değerlendirme Yönergesi’ne uygun olacak şekilde yapılmaktadır.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Merkezi Yönetim Kapsamındaki Kamu İdarelerinin Performans Programlarının Program Bütçe Esaslarına Uygun Şekilde Hazırlanması Hakkında Usul ve Esasları'na istinaden 14.04.2020 tarihinde “Program Bütçe Esaslarına Göre Performans Programı İzleme Rehberi” esas alınarak program bütçe uygulamasına yönelik daha önce belirlenen performans gösterge gerçekleşmelerinin (2025 yılı  Mart-Haziran ayı sonu arasındaki 3 aylık net gerçekleşme rakamları) veri girişlerinin  3 aylık olarak yapılmasına ilişkin yazı gönderilmiştir.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 Bilim Dalı, performans göstergeleri ile araştırma performansını izlemektedir. Üniveristemizin, ulusal ve uluslararası sıralamalardaki mevcut durumuna ilişkin takip gerçekleştirilmektedir. Ancak, bu takibin paydaşlarla beraber gelişmeye açık yönlerin belirlenmesi ve iyileştirme çalışmalarının yürütülmesi bakımından planlamaya ihtiyaç duyulduğu görülmektedir.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araştırma performansını izlenmek ve değerlendirmek üzere oluşturulan mekanizmalar kullanılmaktadır.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C.3.2. Öğretim elemanı/araştırmacı performansının değerlendirilmesi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C.3.2. Öğretim elemanı/araştırmacı performansının değerlendirilmesi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Kurum içi akademik performans değerlendirme faaliyetlerinin bir parçası olarak, birimimizde yer alan öğretim üyelerinin akademik performaslarının değerlendirilmesine yönelik çalışmalar mevcuttur.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hyperlink r:id="rId24" w:history="1">
        <w:r w:rsidRPr="005157DD">
          <w:rPr>
            <w:rFonts w:ascii="Calibri Light" w:eastAsia="Times New Roman" w:hAnsi="Calibri Light" w:cs="Calibri Light"/>
            <w:color w:val="3699FF"/>
            <w:lang w:eastAsia="tr-TR"/>
          </w:rPr>
          <w:t>(3).C.3.2.1.aksaray_üniversitesi_KİDR</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Birimimiz Akademik Performans Hedefleri’ne ilişkin bilgi talebinde bulunulmuştur.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öğretim elemanlarının araştırmageliştirme performansını izlemek ve değerlendirmek üzere oluşturulan mekanizmalar kullanılmaktadır.</w:t>
      </w:r>
    </w:p>
    <w:p w:rsidR="005157DD" w:rsidRPr="005157DD" w:rsidRDefault="005157DD" w:rsidP="005157DD">
      <w:pPr>
        <w:spacing w:after="100" w:afterAutospacing="1" w:line="240" w:lineRule="auto"/>
        <w:jc w:val="both"/>
        <w:outlineLvl w:val="0"/>
        <w:rPr>
          <w:rFonts w:ascii="Calibri Light" w:eastAsia="Times New Roman" w:hAnsi="Calibri Light" w:cs="Calibri Light"/>
          <w:color w:val="464E5F"/>
          <w:kern w:val="36"/>
          <w:lang w:eastAsia="tr-TR"/>
        </w:rPr>
      </w:pPr>
      <w:r w:rsidRPr="005157DD">
        <w:rPr>
          <w:rFonts w:ascii="Calibri Light" w:eastAsia="Times New Roman" w:hAnsi="Calibri Light" w:cs="Calibri Light"/>
          <w:b/>
          <w:bCs/>
          <w:color w:val="464E5F"/>
          <w:kern w:val="36"/>
          <w:lang w:eastAsia="tr-TR"/>
        </w:rPr>
        <w:t>D. TOPLUMSAL KATKI</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D.1. Toplumsal Katkı Süreçlerinin Yönetimi ve Toplumsal Katkı Kaynakları</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D.1.1. Toplumsal katkı süreçlerinin yönetimi</w:t>
      </w:r>
    </w:p>
    <w:p w:rsidR="005157DD" w:rsidRPr="005157DD" w:rsidRDefault="005157DD" w:rsidP="00B87529">
      <w:pPr>
        <w:numPr>
          <w:ilvl w:val="0"/>
          <w:numId w:val="21"/>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TOPLUMSAL KATKI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Bir kurumun, toplumun ihtiyaçlarını göz önünde bulundurarak, akademik, sosyal, kültürel, ekonomik, sağlık, çevre vb. alanlardaki kurumsal faaliyetlerini toplumsal katkıya dönüştürmek adına yürüttüğü tüm faaliyetleri kapsamaktadır. Bu bağlamda Aksaray Üniversitesi’nin takip ettiği bir Toplumsal Katkı Politikası bulunmaktadır. </w:t>
      </w:r>
      <w:hyperlink r:id="rId25" w:history="1">
        <w:r w:rsidRPr="005157DD">
          <w:rPr>
            <w:rFonts w:ascii="Calibri Light" w:eastAsia="Times New Roman" w:hAnsi="Calibri Light" w:cs="Calibri Light"/>
            <w:color w:val="3699FF"/>
            <w:lang w:eastAsia="tr-TR"/>
          </w:rPr>
          <w:t>https://toplumsalkatki.aksaray.edu.tr/dosya/97dac2b6-9502-410f-87d5-ea37915a1d17.pdf</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Bu politikanın sağlıklı bir şekilde işleyişini sağlamak amacıyla ASÜ Toplumsal Katkı Koordinatörlüğü kurulmuştur. </w:t>
      </w:r>
      <w:hyperlink r:id="rId26" w:history="1">
        <w:r w:rsidRPr="005157DD">
          <w:rPr>
            <w:rFonts w:ascii="Calibri Light" w:eastAsia="Times New Roman" w:hAnsi="Calibri Light" w:cs="Calibri Light"/>
            <w:color w:val="3699FF"/>
            <w:lang w:eastAsia="tr-TR"/>
          </w:rPr>
          <w:t>https://aksaray.edu.tr/asude-toplumsal-katki-koordinatorlugu-kuruldu</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xml:space="preserve">Koordinatörlük, 29.01.2025 tarihli 2025/02-01karar sayılı Aksaray Üniversitesi Toplumsal Katkı Koordinatörlüğü Yönergesi uyarınca faaliyet göstermektedir. Yönergede belirtildiği üzere: “Yönerge; Aksaray Üniversitesi birimleri tarafından gerçekleştirilen mevcut toplumsal katkı faaliyetlerinin kurumun toplumsal katkı politikaları doğrultusunda iç ve dış paydaşların yerel, bölgesel ve ulusal kalkınma hedefleriyle uyumlu olacak şekilde </w:t>
      </w:r>
      <w:r w:rsidRPr="005157DD">
        <w:rPr>
          <w:rFonts w:ascii="Calibri Light" w:eastAsia="Times New Roman" w:hAnsi="Calibri Light" w:cs="Calibri Light"/>
          <w:color w:val="464E5F"/>
          <w:lang w:eastAsia="tr-TR"/>
        </w:rPr>
        <w:lastRenderedPageBreak/>
        <w:t>yürütülmesi ve kurulan sistemin sürdürülebilir olması için Aksaray Üniversitesi Toplumsal Katkı Koordinatörlüğü, Koordinatörlüğe bağlı birim temsilcileri ile ihtiyaca göre kurulacak olan alt çalışma gruplarının çalışma esasları, görev ve sorumluluklarına ilişkin hükümleri kapsamaktadır.” https://kms.kaysis. gov.tr/Home/Goster/ 205140? AspxAutoDetectCookieSupport=1</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Toplumsal Katkı Koordinatörlüğü; toplumsal katkıyı, kaliteli ve verimli bir şekilde artırmak amacıyla yürüttüğü faaliyetlerde aşağıda temel değerlere uygun çalışmalar yürütmektedir.</w:t>
      </w:r>
    </w:p>
    <w:p w:rsidR="005157DD" w:rsidRPr="005157DD" w:rsidRDefault="005157DD" w:rsidP="00B87529">
      <w:pPr>
        <w:numPr>
          <w:ilvl w:val="0"/>
          <w:numId w:val="2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Toplumsal, ahlaki ve etik değerlere bağlılık</w:t>
      </w:r>
    </w:p>
    <w:p w:rsidR="005157DD" w:rsidRPr="005157DD" w:rsidRDefault="005157DD" w:rsidP="00B87529">
      <w:pPr>
        <w:numPr>
          <w:ilvl w:val="0"/>
          <w:numId w:val="2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Toplumsal, kültürel, çevresel ve sanatsal duyarlılık</w:t>
      </w:r>
    </w:p>
    <w:p w:rsidR="005157DD" w:rsidRPr="005157DD" w:rsidRDefault="005157DD" w:rsidP="00B87529">
      <w:pPr>
        <w:numPr>
          <w:ilvl w:val="0"/>
          <w:numId w:val="2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Yerel, bölgesel ve ulusal kalkınma hedefleriyle uyumluluk</w:t>
      </w:r>
    </w:p>
    <w:p w:rsidR="005157DD" w:rsidRPr="005157DD" w:rsidRDefault="005157DD" w:rsidP="00B87529">
      <w:pPr>
        <w:numPr>
          <w:ilvl w:val="0"/>
          <w:numId w:val="2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Sosyal ve kültürel sorumluluklar konusunda farkındalık</w:t>
      </w:r>
    </w:p>
    <w:p w:rsidR="005157DD" w:rsidRPr="005157DD" w:rsidRDefault="005157DD" w:rsidP="00B87529">
      <w:pPr>
        <w:numPr>
          <w:ilvl w:val="0"/>
          <w:numId w:val="2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Erişilebilir yaşamı destekleme</w:t>
      </w:r>
    </w:p>
    <w:p w:rsidR="005157DD" w:rsidRPr="005157DD" w:rsidRDefault="005157DD" w:rsidP="00B87529">
      <w:pPr>
        <w:numPr>
          <w:ilvl w:val="0"/>
          <w:numId w:val="2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Dezavantajlı grupları destekleme</w:t>
      </w:r>
    </w:p>
    <w:p w:rsidR="005157DD" w:rsidRPr="005157DD" w:rsidRDefault="005157DD" w:rsidP="00B87529">
      <w:pPr>
        <w:numPr>
          <w:ilvl w:val="0"/>
          <w:numId w:val="2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Hayat boyu öğrenme</w:t>
      </w:r>
    </w:p>
    <w:p w:rsidR="005157DD" w:rsidRPr="005157DD" w:rsidRDefault="005157DD" w:rsidP="00B87529">
      <w:pPr>
        <w:numPr>
          <w:ilvl w:val="0"/>
          <w:numId w:val="2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Şeffaflık ve hesap verebilirlik</w:t>
      </w:r>
    </w:p>
    <w:p w:rsidR="005157DD" w:rsidRPr="005157DD" w:rsidRDefault="005157DD" w:rsidP="00B87529">
      <w:pPr>
        <w:numPr>
          <w:ilvl w:val="0"/>
          <w:numId w:val="22"/>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Yenilikçilik ve yaratıcılık</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27" w:history="1">
        <w:r w:rsidRPr="005157DD">
          <w:rPr>
            <w:rFonts w:ascii="Calibri Light" w:eastAsia="Times New Roman" w:hAnsi="Calibri Light" w:cs="Calibri Light"/>
            <w:color w:val="3699FF"/>
            <w:lang w:eastAsia="tr-TR"/>
          </w:rPr>
          <w:t>https://toplumsalkatki.aksaray.edu.tr/hedefler</w:t>
        </w:r>
      </w:hyperlink>
      <w:r w:rsidRPr="005157DD">
        <w:rPr>
          <w:rFonts w:ascii="Calibri Light" w:eastAsia="Times New Roman" w:hAnsi="Calibri Light" w:cs="Calibri Light"/>
          <w:color w:val="464E5F"/>
          <w:lang w:eastAsia="tr-TR"/>
        </w:rPr>
        <w:t> Bu amaçlar ve değerler çerçevesinde, ASÜ 2025-2029 Strartejik Planı’nda belirtildiği üzere bir önceki planlama döneminde Toplumsal Katkı hedeflerine ulaşma oranının 65.48% olduğu belirtilmiştir. Bu oranın yükselmesi için ise alınacak tedbirler paylaşılmıştır. https://ogris.aksaray. edu.tr/dosya/11b94cdb-e09e-43e9-b931-e8d829acf6b7.pdf</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D.1. Toplumsal Katkı Süreçlerinin Yönetimi ve Toplumsal Katkı Kaynakları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bookmarkStart w:id="11" w:name="_TOC_250002"/>
      <w:r w:rsidRPr="005157DD">
        <w:rPr>
          <w:rFonts w:ascii="Calibri Light" w:eastAsia="Times New Roman" w:hAnsi="Calibri Light" w:cs="Calibri Light"/>
          <w:color w:val="464E5F"/>
          <w:lang w:eastAsia="tr-TR"/>
        </w:rPr>
        <w:t>Bölüm, toplumsal katkı faaliyetlerini, üniveristemizin stratejik amaçları ve hedefleri doğrultusunda yönetmektedir. Birim öğretim üyelerimiz, bu faaliyetler için uygun fiziki ve mali gereklilikler için imkanlar oluşturmaktadır. Üniversitemiz 2025-2029 yılı Stratejik Planı’nda yer aldığı üzere, Hayat Boyu Öğrenme kapsamında, toplumun tüm kesimlerine ihtiyaç duyduğu alanlarda eğitimler verilmesi, kamu kurum ve kuruluşları, özel sektör ve uluslararası kuruluşlarla iş birliğinin gelişmesine katkıda bulunulması hedeflenmektedir. </w:t>
      </w:r>
      <w:bookmarkEnd w:id="11"/>
      <w:r w:rsidRPr="005157DD">
        <w:rPr>
          <w:rFonts w:ascii="Calibri Light" w:eastAsia="Times New Roman" w:hAnsi="Calibri Light" w:cs="Calibri Light"/>
          <w:color w:val="464E5F"/>
          <w:lang w:eastAsia="tr-TR"/>
        </w:rPr>
        <w:fldChar w:fldCharType="begin"/>
      </w:r>
      <w:r w:rsidRPr="005157DD">
        <w:rPr>
          <w:rFonts w:ascii="Calibri Light" w:eastAsia="Times New Roman" w:hAnsi="Calibri Light" w:cs="Calibri Light"/>
          <w:color w:val="464E5F"/>
          <w:lang w:eastAsia="tr-TR"/>
        </w:rPr>
        <w:instrText xml:space="preserve"> HYPERLINK "https://ogris.aksaray.edu.tr/dosya/11b94cdb-e09e-43e9-b931-e8d829acf6b7.pdf" </w:instrText>
      </w:r>
      <w:r w:rsidRPr="005157DD">
        <w:rPr>
          <w:rFonts w:ascii="Calibri Light" w:eastAsia="Times New Roman" w:hAnsi="Calibri Light" w:cs="Calibri Light"/>
          <w:color w:val="464E5F"/>
          <w:lang w:eastAsia="tr-TR"/>
        </w:rPr>
        <w:fldChar w:fldCharType="separate"/>
      </w:r>
      <w:r w:rsidRPr="005157DD">
        <w:rPr>
          <w:rFonts w:ascii="Calibri Light" w:eastAsia="Times New Roman" w:hAnsi="Calibri Light" w:cs="Calibri Light"/>
          <w:color w:val="3699FF"/>
          <w:lang w:eastAsia="tr-TR"/>
        </w:rPr>
        <w:t>https://ogris.aksaray.edu.tr/dosya/11b94cdb-e09e-43e9-b931-e8d829acf6b7.pdf</w:t>
      </w:r>
      <w:r w:rsidRPr="005157DD">
        <w:rPr>
          <w:rFonts w:ascii="Calibri Light" w:eastAsia="Times New Roman" w:hAnsi="Calibri Light" w:cs="Calibri Light"/>
          <w:color w:val="464E5F"/>
          <w:lang w:eastAsia="tr-TR"/>
        </w:rPr>
        <w:fldChar w:fldCharType="end"/>
      </w:r>
      <w:r w:rsidRPr="005157DD">
        <w:rPr>
          <w:rFonts w:ascii="Calibri Light" w:eastAsia="Times New Roman" w:hAnsi="Calibri Light" w:cs="Calibri Light"/>
          <w:color w:val="464E5F"/>
          <w:lang w:eastAsia="tr-TR"/>
        </w:rPr>
        <w:t>  Stratejik Plan’da Toplumsal Katkı başlığı altında: i) Kültürel ve Sanatsal (Kültürel ve Sanatsal (Sergiler, Şenlikler,  Kongreler, Seminerler) Hizmetler, ii) Sosyal Sorumluluk Projeleri, iii) Hayat Boyu Öğrenme Faaliyetleri (Eğitim ve Kurs Faaliyetleri), iv) Sağlık Hizmetleri, v) Sürdürülebilir Kampüs başlıkları ele alınmaktadır. </w:t>
      </w:r>
      <w:hyperlink r:id="rId28" w:history="1">
        <w:r w:rsidRPr="005157DD">
          <w:rPr>
            <w:rFonts w:ascii="Calibri Light" w:eastAsia="Times New Roman" w:hAnsi="Calibri Light" w:cs="Calibri Light"/>
            <w:color w:val="3699FF"/>
            <w:lang w:eastAsia="tr-TR"/>
          </w:rPr>
          <w:t>https://ogris.aksaray.edu.tr/dosya/11b94cdb-e09e-43e9-b931-e8d829acf6b7.pdf</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Aynı belgede, Akademik Faaliyet Analizi kapsamında Toplumsal Katkı da ele alınmıştır. Bu bağlamda, kurumun yürüttüğü sosyal sorumluluk projelerinin sayısının artış eğiliminde olması, Sürekli Eğitim Merkezi tarafından verilen eğitimlere katılımcı sayısının artması ve ildeki dış paydaşlardan gelen eğitim taleplerinin Üniversitemiz akademisyenlerince uzmanlık alanlarına göre karşılanması güçlü yönler olarak belirtilmiştir. Ancak, eğitimlerin ve katılımcı sayılarının yeterli olgunluğa ulaşabilmesi için Sürekli Eğitim Merkezi tarafından verilen eğitimlerin toplumun ihtiyacına cevap verecek şekilde planlanması ve tanıtım faaliyetlerine önem verilmesi gerekliliği iyileştirme çalışmaları için vurgulanmıştır. </w:t>
      </w:r>
      <w:hyperlink r:id="rId29" w:history="1">
        <w:r w:rsidRPr="005157DD">
          <w:rPr>
            <w:rFonts w:ascii="Calibri Light" w:eastAsia="Times New Roman" w:hAnsi="Calibri Light" w:cs="Calibri Light"/>
            <w:color w:val="3699FF"/>
            <w:lang w:eastAsia="tr-TR"/>
          </w:rPr>
          <w:t>https://ogris.aksaray.edu.tr/dosya/11b94cdb-e09e-43e9-b931-e8d829acf6b7.pdf</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Benzer şekilde, üniversitemizin 2547 sayılı Yükseköğretim Kanunu Madde 12/c uyarınca üstelendiği yasal sorumluluk gereği, toplum yararına gerçekleştirilen çalışmaların yeterli düzeyde olmadığı tespit edilmiştir.  </w:t>
      </w:r>
      <w:hyperlink r:id="rId30" w:history="1">
        <w:r w:rsidRPr="005157DD">
          <w:rPr>
            <w:rFonts w:ascii="Calibri Light" w:eastAsia="Times New Roman" w:hAnsi="Calibri Light" w:cs="Calibri Light"/>
            <w:color w:val="3699FF"/>
            <w:lang w:eastAsia="tr-TR"/>
          </w:rPr>
          <w:t>https://ogris.aksaray.edu.tr/dosya/11b94cdb-e09e-43e9-b931-e8d829acf6b7.pdf</w:t>
        </w:r>
      </w:hyperlink>
      <w:r w:rsidRPr="005157DD">
        <w:rPr>
          <w:rFonts w:ascii="Calibri Light" w:eastAsia="Times New Roman" w:hAnsi="Calibri Light" w:cs="Calibri Light"/>
          <w:color w:val="464E5F"/>
          <w:lang w:eastAsia="tr-TR"/>
        </w:rPr>
        <w:t> Birim, toplumsal katkı faaliyetlerini stratejik amaçları ve hedefleri doğrultusunda yönetmelidir. Bu faaliyetler için uygun fiziki altyapı ve mali kaynaklar oluşturmalı ve bunların etkin şekilde kullanımını sağlamalıdır.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i/>
          <w:iCs/>
          <w:color w:val="464E5F"/>
          <w:lang w:eastAsia="tr-TR"/>
        </w:rPr>
        <w:t>D.1.1. Toplumsal katkı süreçlerinin yönetimi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xml:space="preserve">Üniversitemizde, toplumsal katkı süreçleri ASÜ Toplumsal Katkı Koordinatörlüğünce yürütülmektedir. Toplumsal Katkı Koordinatörlüğü; Aksaray Üniversitesine bağlı birimlerde yürütülen toplumsal katkı faaliyetlerinin planlanması, yaygınlaştırılması ve geliştirilmesine destek olmayı ve Üniversite’deki tüm toplumsal katkı organları </w:t>
      </w:r>
      <w:r w:rsidRPr="005157DD">
        <w:rPr>
          <w:rFonts w:ascii="Calibri Light" w:eastAsia="Times New Roman" w:hAnsi="Calibri Light" w:cs="Calibri Light"/>
          <w:color w:val="464E5F"/>
          <w:lang w:eastAsia="tr-TR"/>
        </w:rPr>
        <w:lastRenderedPageBreak/>
        <w:t>arasındaki koordinasyonu sağlamayı, iç ve dış paydaşlar arasındaki iletişim ve etkileşim faaliyetlerini sürdürmeyi kapsamaktadır. </w:t>
      </w:r>
      <w:hyperlink r:id="rId31" w:history="1">
        <w:r w:rsidRPr="005157DD">
          <w:rPr>
            <w:rFonts w:ascii="Calibri Light" w:eastAsia="Times New Roman" w:hAnsi="Calibri Light" w:cs="Calibri Light"/>
            <w:color w:val="3699FF"/>
            <w:lang w:eastAsia="tr-TR"/>
          </w:rPr>
          <w:t>https://toplumsalkatki.aksaray.edu.tr/kapsam</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Korrdinatörlük, Fakültemiz öğretim üyelerinden Doç.Dr. Gülistan Yalçın’ın da Koordinatör Yardımcısı olarak yer aldığı, üniversitemiz çeşitli birimlerinde görev yapan öğretim üyeleri ve elemanlarından oluşmaktadır.  </w:t>
      </w:r>
      <w:hyperlink r:id="rId32" w:history="1">
        <w:r w:rsidRPr="005157DD">
          <w:rPr>
            <w:rFonts w:ascii="Calibri Light" w:eastAsia="Times New Roman" w:hAnsi="Calibri Light" w:cs="Calibri Light"/>
            <w:color w:val="3699FF"/>
            <w:lang w:eastAsia="tr-TR"/>
          </w:rPr>
          <w:t>https://toplumsalkatki.aksaray.edu.tr/koordinasyon-kurulu</w:t>
        </w:r>
      </w:hyperlink>
      <w:r w:rsidRPr="005157DD">
        <w:rPr>
          <w:rFonts w:ascii="Calibri Light" w:eastAsia="Times New Roman" w:hAnsi="Calibri Light" w:cs="Calibri Light"/>
          <w:color w:val="464E5F"/>
          <w:lang w:eastAsia="tr-TR"/>
        </w:rPr>
        <w:t> Bu bağlamda, Fakültemizde Kalite Komisyonu altında “Eğitim Fakültesi Toplumsal Katkı Çalışma Grubu” oluşturulmuştur. </w:t>
      </w:r>
      <w:hyperlink r:id="rId33" w:history="1">
        <w:r w:rsidRPr="005157DD">
          <w:rPr>
            <w:rFonts w:ascii="Calibri Light" w:eastAsia="Times New Roman" w:hAnsi="Calibri Light" w:cs="Calibri Light"/>
            <w:color w:val="3699FF"/>
            <w:lang w:eastAsia="tr-TR"/>
          </w:rPr>
          <w:t>https://egitim.aksaray.edu.tr/Kalite-komisyonu</w:t>
        </w:r>
      </w:hyperlink>
      <w:r w:rsidRPr="005157DD">
        <w:rPr>
          <w:rFonts w:ascii="Calibri Light" w:eastAsia="Times New Roman" w:hAnsi="Calibri Light" w:cs="Calibri Light"/>
          <w:color w:val="464E5F"/>
          <w:lang w:eastAsia="tr-TR"/>
        </w:rPr>
        <w:t> Fakültemiz we sayfasında Toplumsal Katkı faaliyetlerine yer verilmiştir. </w:t>
      </w:r>
      <w:hyperlink r:id="rId34" w:history="1">
        <w:r w:rsidRPr="005157DD">
          <w:rPr>
            <w:rFonts w:ascii="Calibri Light" w:eastAsia="Times New Roman" w:hAnsi="Calibri Light" w:cs="Calibri Light"/>
            <w:color w:val="3699FF"/>
            <w:lang w:eastAsia="tr-TR"/>
          </w:rPr>
          <w:t>https://egitim.aksaray.edu.tr/TKF</w:t>
        </w:r>
      </w:hyperlink>
      <w:r w:rsidRPr="005157DD">
        <w:rPr>
          <w:rFonts w:ascii="Calibri Light" w:eastAsia="Times New Roman" w:hAnsi="Calibri Light" w:cs="Calibri Light"/>
          <w:color w:val="464E5F"/>
          <w:lang w:eastAsia="tr-TR"/>
        </w:rPr>
        <w:t>  Birimimizde Toplumsal Katkı süreçlerinin takibi Kalite Komisyonu’nun sorumluğundadır. Komisyonda Dr. Öğr. Üyesi Serkan BOYRAZ ve Dr. Öğr. Üyesi Özlem Fatma YILDIRIM TAŞTI yer almakatdır. </w:t>
      </w:r>
      <w:hyperlink r:id="rId35" w:history="1">
        <w:r w:rsidRPr="005157DD">
          <w:rPr>
            <w:rFonts w:ascii="Calibri Light" w:eastAsia="Times New Roman" w:hAnsi="Calibri Light" w:cs="Calibri Light"/>
            <w:color w:val="3699FF"/>
            <w:lang w:eastAsia="tr-TR"/>
          </w:rPr>
          <w:t>https://epo.aksaray.edu.tr/Kalite-komisyonu</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Bu amaçlar doğrultusunda birim, yıl içerisinde gerçekleştirdiği “Köy Okulu Ziyareti”, “10 Kasım Atatürk’ü Anma Töreni”, “Yürü ve Düşün Etkinliği” ve “Çevre Temizliği Etkinliği” gibi faaliyetlerle; hem öğrencilerin sosyal sorumluluk, kültürel farkındalık ve çevresel duyarlılık becerilerini güçlendirmiş, hem de toplumsal katkı, sürdürülebilirlik ve kurumsal değerler alanlarında somut gelişim göstermiştir. Bu etkinlikler, birimin PUKÖ döngüsü kapsamında planlama, uygulama ve iyileştirme süreçlerinin etkin biçimde yürütüldüğünü ortaya koymakta; aynı zamanda kurumun misyon, vizyon ve kalite kültürüne doğrudan katkı sağlamaktadır. Anabilimdalı öğretim üyelerinden Dr. Öğr. Üyesi Özlem Fatma YILDIRIM TAŞTI tarafından düzenlenen etkinlikler aşağıda tabloda verilmiş olup ilgili etkinliklere ilişkin fotoğraflar kanıt olrak sunulmuştur. Bunun dışında, birim öğretim üyelerinden Prof. Dr. Savaş KARAGÖZ ve Dr. Öğr. Üyesi Özlem Fatma YILDIRIM TAŞTI, Fakültemiz ASÜ Oyun ve Kültür Topluluğu’nun Gençlik ve Spor Bakanlığı’nca desteklenen UNİDES Projesi kapsamında “Gelenekten Geleceğe Oyun ve Kültür Çalıştayı”’nda seminer vermişlerdir.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Anabilim Dalı olarak toplumsal katkı çalışmalarımız, yalnızca etkinlik gerçekleştirmekten öte; kültürel mirasın korunması, sosyal sorumluluk bilincinin gelişmesi, çevresel duyarlılığın güçlenmesi ve öğrencilerin bütüncül gelişiminin desteklenmesi gibi çok yönlü amaçları kapsamaktadır. Gerçekleştirilen faaliyetler, PUKÖ döngüsü temelinde planlanmış;</w:t>
      </w:r>
    </w:p>
    <w:p w:rsidR="005157DD" w:rsidRPr="005157DD" w:rsidRDefault="005157DD" w:rsidP="00B87529">
      <w:pPr>
        <w:numPr>
          <w:ilvl w:val="0"/>
          <w:numId w:val="23"/>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Planlama aşaması, toplumsal ihtiyaçların ve öğrenci gelişim alanlarının belirlenmesine,</w:t>
      </w:r>
    </w:p>
    <w:p w:rsidR="005157DD" w:rsidRPr="005157DD" w:rsidRDefault="005157DD" w:rsidP="00B87529">
      <w:pPr>
        <w:numPr>
          <w:ilvl w:val="0"/>
          <w:numId w:val="23"/>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Uygulama aşaması, etkinliklerin aktif katılımla yürütülmesine,</w:t>
      </w:r>
    </w:p>
    <w:p w:rsidR="005157DD" w:rsidRPr="005157DD" w:rsidRDefault="005157DD" w:rsidP="00B87529">
      <w:pPr>
        <w:numPr>
          <w:ilvl w:val="0"/>
          <w:numId w:val="23"/>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Kontrol aşaması, öğrenci geri bildirimlerinin değerlendirilmesine,</w:t>
      </w:r>
    </w:p>
    <w:p w:rsidR="005157DD" w:rsidRPr="005157DD" w:rsidRDefault="005157DD" w:rsidP="00B87529">
      <w:pPr>
        <w:numPr>
          <w:ilvl w:val="0"/>
          <w:numId w:val="23"/>
        </w:numPr>
        <w:spacing w:before="100" w:beforeAutospacing="1" w:after="0" w:line="240" w:lineRule="auto"/>
        <w:ind w:left="532"/>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Önlem alma aşaması ise etkinliklerin sürdürülebilir hale getirilmesine odaklanmıştır.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Bu yaklaşım, toplumsal katkı faaliyetlerinin sistematik, ölçülebilir ve kalıcı etki yaratacak şekilde yürütülmesini sağlamaktadır.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Anabilim Dalı, eğitimde adalet, kültürel farkındalık ve toplumsal sorumluluk değerlerini merkeze alan bir yaklaşım benimsemektedir. Öğretmen adaylarının çevre bilinci, sosyal sorumluluk ve dezavantajlı gruplarla çalışma gibi etkinliklere aktif olarak katılması; yerel okullar, sivil toplum kuruluşları, belediyeler ve öğrenci topluluklarıyla işbirliklerinin sürdürülmesi önemli bir güçlü yön olarak öne çıkmaktadır. Bununla birlikte, yürütülen toplumsal katkı çalışmalarının sistematik biçimde kayıt altına alınması, etkilerinin izlenmesi ve uzun dönemli işbirliklerine dönüştürülmesi noktasında geliştirmeye açık alanlar bulunmaktadır. Anabilim dalının akademik kadro yapısının sınırlı olması, toplumsal katkı faaliyetlerinin sürdürülebilirliğini zaman zaman kısıtlayabilmektedir.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Bunun yanında, üniversite–toplum işbirliklerinin yükseköğretim politikalarında giderek daha fazla önem kazanması; yerel kurumların eğitim projelerine yönelik işbirliği taleplerinin artması ve dijital platformların topluma yönelik eğitim etkinlikleri için yeni olanaklar sunması önemli fırsatlar yaratmaktadır. Ancak, toplumsal katkı projelerinin finansman kaynaklarının sürekliliğinin garanti olmaması, paydaş kurumlarda yaşanabilen idari değişikliklerin ortak çalışmaların devamlılığını etkileyebilmesi ve toplumsal kutuplaşmaların bazı konularda saha çalışmalarını zorlaştırabilmesi ise dikkate alınması gereken tehditler arasındadır. Bu çerçevede, Anabilim Dalı’nın toplumsal katkı faaliyetlerini daha görünür, sürdürülebilir ve ölçülebilir hale getirecek yapılandırılmış takip, raporlama ve işbirliği mekanizmalarının güçlendirilmesi önem taşımaktadır.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toplumsal katkı süreçlerinin yönetimi ve organizasyonel yapısı kurumsal tercihler yönünde uygulanmaktadır.</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lastRenderedPageBreak/>
        <w:t>D.1.2. Kaynaklar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D 1.2. Kaynaklar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Birimin toplumsal katkı faaliyetlerini sürdürebilmesi için yeterli kaynağı bulunmamaktadır. Temel kaynağı Üniversitemizin Öğrenci Toplulukları için ayırdığı bütçe olan Toplumsal Katkı başlığı için farklı kaynak arayışlarımız devam etmektedir.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Üniversitemiz Öğrenci Etkinlikleri Komisyonu, Üniversite Sağlık, Kültür ve Spor Dairesi Başkanlığı bütçesinden öğrenci etkinlikleri için ayrılan payın, kaydını yenilemiş olan öğrenci topluluklarının amaçlarını gerçekleştirmeyi hedefleyerek düzenleyecekleri etkinliklerde kullanılmasını sağlamakla yükümlüdür. Aksaray üniversitesi sağlık kültür ve spor dairesi başkanlığı öğrenci toplulukları kuruluş ve işleyiş yönergesi </w:t>
      </w:r>
      <w:hyperlink r:id="rId36" w:history="1">
        <w:r w:rsidRPr="005157DD">
          <w:rPr>
            <w:rFonts w:ascii="Calibri Light" w:eastAsia="Times New Roman" w:hAnsi="Calibri Light" w:cs="Calibri Light"/>
            <w:color w:val="3699FF"/>
            <w:lang w:eastAsia="tr-TR"/>
          </w:rPr>
          <w:t>https://kms.kaysis.gov.tr/Home/Goster/72887</w:t>
        </w:r>
      </w:hyperlink>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2 - Kurumun toplumsal katkı faaliyetlerini sürdürebilmek için uygun nitelik ve nicelikte fiziki, teknik ve mali kaynakların oluşturulmasına yönelik planları bulunmaktadır.</w:t>
      </w:r>
    </w:p>
    <w:p w:rsidR="005157DD" w:rsidRPr="005157DD" w:rsidRDefault="005157DD" w:rsidP="005157DD">
      <w:pPr>
        <w:spacing w:after="100" w:afterAutospacing="1" w:line="240" w:lineRule="auto"/>
        <w:jc w:val="both"/>
        <w:outlineLvl w:val="1"/>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D.2. Toplumsal Katkı Performansı</w:t>
      </w:r>
    </w:p>
    <w:p w:rsidR="005157DD" w:rsidRPr="005157DD" w:rsidRDefault="005157DD" w:rsidP="005157DD">
      <w:pPr>
        <w:spacing w:before="300" w:after="100" w:afterAutospacing="1" w:line="240" w:lineRule="auto"/>
        <w:jc w:val="both"/>
        <w:outlineLvl w:val="2"/>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D.2.1.Toplumsal katkı performansının izlenmesi ve değerlendirilmesi</w:t>
      </w:r>
    </w:p>
    <w:p w:rsidR="005157DD" w:rsidRPr="005157DD" w:rsidRDefault="005157DD" w:rsidP="005157DD">
      <w:pPr>
        <w:spacing w:before="300" w:after="150" w:line="240" w:lineRule="auto"/>
        <w:jc w:val="both"/>
        <w:outlineLvl w:val="2"/>
        <w:rPr>
          <w:rFonts w:ascii="Calibri Light" w:eastAsia="Times New Roman" w:hAnsi="Calibri Light" w:cs="Calibri Light"/>
          <w:color w:val="464E5F"/>
          <w:lang w:eastAsia="tr-TR"/>
        </w:rPr>
      </w:pPr>
      <w:bookmarkStart w:id="12" w:name="_TOC_250001"/>
      <w:r w:rsidRPr="005157DD">
        <w:rPr>
          <w:rFonts w:ascii="Calibri Light" w:eastAsia="Times New Roman" w:hAnsi="Calibri Light" w:cs="Calibri Light"/>
          <w:b/>
          <w:bCs/>
          <w:color w:val="464E5F"/>
          <w:lang w:eastAsia="tr-TR"/>
        </w:rPr>
        <w:t>D.2. Toplumsal Katkı </w:t>
      </w:r>
      <w:bookmarkEnd w:id="12"/>
      <w:r w:rsidRPr="005157DD">
        <w:rPr>
          <w:rFonts w:ascii="Calibri Light" w:eastAsia="Times New Roman" w:hAnsi="Calibri Light" w:cs="Calibri Light"/>
          <w:b/>
          <w:bCs/>
          <w:color w:val="464E5F"/>
          <w:lang w:eastAsia="tr-TR"/>
        </w:rPr>
        <w:t>Performansı</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Birim, toplumsal katkı stratejisi ve hedefleri doğrultusunda faaliyetler yürütüyor olsa da, bu faaliyetlerin izlenmesi ve değerlendirilmesi için oluşturulmuş bir mekanizma bulunmamaktadır.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 </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D.2.1.Toplumsal katkı performansının izlenmesi ve değerlendirilmesi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color w:val="464E5F"/>
          <w:lang w:eastAsia="tr-TR"/>
        </w:rPr>
        <w:t>Birim, sürdürülebilir kalkınma hedefleri doğrultusunda, dezavantajlı gruplar da dâhil olmak üzere toplumun ve çevrenin ihtiyaçlarına cevap verebilen ve değer üreten toplumsal katkı faaliyetleri gerçekleştirmektedir. Çeşitli kamu birimleri ile yapılan çalışmalar, toplumsal katkı faaliyetlerine kaynak oluşturmaktadır. Üniversitemiz ve Fakültemizin izleme mekanizma ve süreçleri mevcut olmasına karşın, birim içinde henüz böyle bir yapılanma yer almamaktadır. Sürdürülebilir bir işleyiş için uzun vadeli süreç planlamalarının yapılması ve iyileştirme adımlarının atılması gerekmektedir. Eğitim Fakültesi Toplumsal Katkı Faaliyetleri</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hyperlink r:id="rId37" w:history="1">
        <w:r w:rsidRPr="005157DD">
          <w:rPr>
            <w:rFonts w:ascii="Calibri Light" w:eastAsia="Times New Roman" w:hAnsi="Calibri Light" w:cs="Calibri Light"/>
            <w:color w:val="3699FF"/>
            <w:lang w:eastAsia="tr-TR"/>
          </w:rPr>
          <w:t>https://egitim.aksaray.edu.tr/TKF</w:t>
        </w:r>
      </w:hyperlink>
      <w:r w:rsidRPr="005157DD">
        <w:rPr>
          <w:rFonts w:ascii="Calibri Light" w:eastAsia="Times New Roman" w:hAnsi="Calibri Light" w:cs="Calibri Light"/>
          <w:color w:val="464E5F"/>
          <w:lang w:eastAsia="tr-TR"/>
        </w:rPr>
        <w:t> , ASÜ Toplumsal Katkı Koordinatörlüğü, https://toplumsalkatki. aksaray. edu.tr/</w:t>
      </w:r>
    </w:p>
    <w:p w:rsidR="005157DD" w:rsidRPr="005157DD" w:rsidRDefault="005157DD" w:rsidP="005157DD">
      <w:pPr>
        <w:spacing w:after="0" w:line="240" w:lineRule="auto"/>
        <w:jc w:val="both"/>
        <w:rPr>
          <w:rFonts w:ascii="Calibri Light" w:eastAsia="Times New Roman" w:hAnsi="Calibri Light" w:cs="Calibri Light"/>
          <w:color w:val="464E5F"/>
          <w:lang w:eastAsia="tr-TR"/>
        </w:rPr>
      </w:pPr>
      <w:r w:rsidRPr="005157DD">
        <w:rPr>
          <w:rFonts w:ascii="Calibri Light" w:eastAsia="Times New Roman" w:hAnsi="Calibri Light" w:cs="Calibri Light"/>
          <w:b/>
          <w:bCs/>
          <w:color w:val="464E5F"/>
          <w:lang w:eastAsia="tr-TR"/>
        </w:rPr>
        <w:t>Olgunluk Düzeyi: </w:t>
      </w:r>
      <w:r w:rsidRPr="005157DD">
        <w:rPr>
          <w:rFonts w:ascii="Calibri Light" w:eastAsia="Times New Roman" w:hAnsi="Calibri Light" w:cs="Calibri Light"/>
          <w:color w:val="464E5F"/>
          <w:lang w:eastAsia="tr-TR"/>
        </w:rPr>
        <w:t>3 - Kurumun genelinde toplumsal katkı performansını izlenmek ve değerlendirmek üzere oluşturulan mekanizmalar kullanılmaktadır.</w:t>
      </w:r>
    </w:p>
    <w:p w:rsidR="005157DD" w:rsidRPr="005157DD" w:rsidRDefault="005157DD" w:rsidP="005157DD">
      <w:pPr>
        <w:jc w:val="both"/>
        <w:rPr>
          <w:rFonts w:ascii="Calibri Light" w:eastAsia="Calibri" w:hAnsi="Calibri Light" w:cs="Calibri Light"/>
        </w:rPr>
      </w:pPr>
    </w:p>
    <w:p w:rsidR="00D46B88" w:rsidRPr="005157DD" w:rsidRDefault="00D46B88" w:rsidP="005157DD"/>
    <w:sectPr w:rsidR="00D46B88" w:rsidRPr="005157DD" w:rsidSect="000C057A">
      <w:headerReference w:type="default" r:id="rId38"/>
      <w:footerReference w:type="default" r:id="rId3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529" w:rsidRDefault="00B87529" w:rsidP="000C057A">
      <w:pPr>
        <w:spacing w:after="0" w:line="240" w:lineRule="auto"/>
      </w:pPr>
      <w:r>
        <w:separator/>
      </w:r>
    </w:p>
  </w:endnote>
  <w:endnote w:type="continuationSeparator" w:id="0">
    <w:p w:rsidR="00B87529" w:rsidRDefault="00B87529" w:rsidP="000C0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6F3" w:rsidRDefault="008C06F3">
    <w:pPr>
      <w:pStyle w:val="GvdeMetni"/>
      <w:spacing w:line="14" w:lineRule="auto"/>
      <w:rPr>
        <w:i w:val="0"/>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529" w:rsidRDefault="00B87529" w:rsidP="000C057A">
      <w:pPr>
        <w:spacing w:after="0" w:line="240" w:lineRule="auto"/>
      </w:pPr>
      <w:r>
        <w:separator/>
      </w:r>
    </w:p>
  </w:footnote>
  <w:footnote w:type="continuationSeparator" w:id="0">
    <w:p w:rsidR="00B87529" w:rsidRDefault="00B87529" w:rsidP="000C05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6F3" w:rsidRPr="00C67DCB" w:rsidRDefault="00B87529">
    <w:pPr>
      <w:pStyle w:val="GvdeMetni"/>
      <w:spacing w:line="14" w:lineRule="auto"/>
      <w:rPr>
        <w:i w:val="0"/>
        <w:sz w:val="20"/>
      </w:rPr>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0" type="#_x0000_t75" style="position:absolute;margin-left:-60.75pt;margin-top:-71.25pt;width:609.75pt;height:834pt;z-index:-251658240;mso-position-horizontal-relative:margin;mso-position-vertical-relative:margin" o:allowincell="f">
          <v:imagedata r:id="rId1" o:title="antetli"/>
          <w10:wrap anchorx="margin" anchory="margin"/>
        </v:shape>
      </w:pict>
    </w:r>
    <w:r w:rsidR="008C06F3" w:rsidRPr="00C67DCB">
      <w:rPr>
        <w:noProof/>
        <w:lang w:eastAsia="tr-TR"/>
      </w:rPr>
      <mc:AlternateContent>
        <mc:Choice Requires="wps">
          <w:drawing>
            <wp:anchor distT="0" distB="0" distL="0" distR="0" simplePos="0" relativeHeight="251657216" behindDoc="1" locked="0" layoutInCell="1" allowOverlap="1" wp14:anchorId="758F0340" wp14:editId="0A7CAFCE">
              <wp:simplePos x="0" y="0"/>
              <wp:positionH relativeFrom="page">
                <wp:posOffset>7139685</wp:posOffset>
              </wp:positionH>
              <wp:positionV relativeFrom="page">
                <wp:posOffset>805941</wp:posOffset>
              </wp:positionV>
              <wp:extent cx="229235" cy="165735"/>
              <wp:effectExtent l="0" t="0" r="0" b="0"/>
              <wp:wrapNone/>
              <wp:docPr id="1"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5735"/>
                      </a:xfrm>
                      <a:prstGeom prst="rect">
                        <a:avLst/>
                      </a:prstGeom>
                    </wps:spPr>
                    <wps:txbx>
                      <w:txbxContent>
                        <w:p w:rsidR="008C06F3" w:rsidRDefault="008C06F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157DD">
                            <w:rPr>
                              <w:rFonts w:ascii="Calibri"/>
                              <w:noProof/>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58F0340" id="_x0000_t202" coordsize="21600,21600" o:spt="202" path="m,l,21600r21600,l21600,xe">
              <v:stroke joinstyle="miter"/>
              <v:path gradientshapeok="t" o:connecttype="rect"/>
            </v:shapetype>
            <v:shape id="Textbox 18" o:spid="_x0000_s1026" type="#_x0000_t202" style="position:absolute;margin-left:562.2pt;margin-top:63.45pt;width:18.0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" filled="f" stroked="f">
              <v:path arrowok="t"/>
              <v:textbox inset="0,0,0,0">
                <w:txbxContent>
                  <w:p w:rsidR="008C06F3" w:rsidRDefault="008C06F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157DD">
                      <w:rPr>
                        <w:rFonts w:ascii="Calibri"/>
                        <w:noProof/>
                        <w:spacing w:val="-5"/>
                      </w:rPr>
                      <w:t>10</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12CE5"/>
    <w:multiLevelType w:val="multilevel"/>
    <w:tmpl w:val="EE5267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9444F"/>
    <w:multiLevelType w:val="multilevel"/>
    <w:tmpl w:val="889403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804D31"/>
    <w:multiLevelType w:val="multilevel"/>
    <w:tmpl w:val="14AE9D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8E4201"/>
    <w:multiLevelType w:val="multilevel"/>
    <w:tmpl w:val="9F66A9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A1E6E"/>
    <w:multiLevelType w:val="multilevel"/>
    <w:tmpl w:val="4F8E6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02704B"/>
    <w:multiLevelType w:val="multilevel"/>
    <w:tmpl w:val="5ADAB6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8E21C0"/>
    <w:multiLevelType w:val="multilevel"/>
    <w:tmpl w:val="18F6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04E9D"/>
    <w:multiLevelType w:val="multilevel"/>
    <w:tmpl w:val="2C760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3E7CED"/>
    <w:multiLevelType w:val="multilevel"/>
    <w:tmpl w:val="B6929F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EE778B"/>
    <w:multiLevelType w:val="multilevel"/>
    <w:tmpl w:val="B39296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946328"/>
    <w:multiLevelType w:val="multilevel"/>
    <w:tmpl w:val="96AA74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5F69B2"/>
    <w:multiLevelType w:val="multilevel"/>
    <w:tmpl w:val="35B6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347FCB"/>
    <w:multiLevelType w:val="multilevel"/>
    <w:tmpl w:val="E0DCE6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D26686"/>
    <w:multiLevelType w:val="multilevel"/>
    <w:tmpl w:val="FFA4E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693205"/>
    <w:multiLevelType w:val="multilevel"/>
    <w:tmpl w:val="287C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475539"/>
    <w:multiLevelType w:val="multilevel"/>
    <w:tmpl w:val="487E8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22386A"/>
    <w:multiLevelType w:val="multilevel"/>
    <w:tmpl w:val="D5AC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205685"/>
    <w:multiLevelType w:val="multilevel"/>
    <w:tmpl w:val="CEFAE3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C431EA"/>
    <w:multiLevelType w:val="multilevel"/>
    <w:tmpl w:val="5AE0D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685AAD"/>
    <w:multiLevelType w:val="multilevel"/>
    <w:tmpl w:val="D5C8E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47026E"/>
    <w:multiLevelType w:val="multilevel"/>
    <w:tmpl w:val="DB8073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B1663A"/>
    <w:multiLevelType w:val="multilevel"/>
    <w:tmpl w:val="3814C9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7D7929"/>
    <w:multiLevelType w:val="multilevel"/>
    <w:tmpl w:val="B32E7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9"/>
  </w:num>
  <w:num w:numId="3">
    <w:abstractNumId w:val="7"/>
  </w:num>
  <w:num w:numId="4">
    <w:abstractNumId w:val="14"/>
  </w:num>
  <w:num w:numId="5">
    <w:abstractNumId w:val="16"/>
  </w:num>
  <w:num w:numId="6">
    <w:abstractNumId w:val="17"/>
  </w:num>
  <w:num w:numId="7">
    <w:abstractNumId w:val="21"/>
  </w:num>
  <w:num w:numId="8">
    <w:abstractNumId w:val="2"/>
  </w:num>
  <w:num w:numId="9">
    <w:abstractNumId w:val="13"/>
  </w:num>
  <w:num w:numId="10">
    <w:abstractNumId w:val="9"/>
  </w:num>
  <w:num w:numId="11">
    <w:abstractNumId w:val="5"/>
  </w:num>
  <w:num w:numId="12">
    <w:abstractNumId w:val="1"/>
  </w:num>
  <w:num w:numId="13">
    <w:abstractNumId w:val="8"/>
  </w:num>
  <w:num w:numId="14">
    <w:abstractNumId w:val="12"/>
  </w:num>
  <w:num w:numId="15">
    <w:abstractNumId w:val="18"/>
  </w:num>
  <w:num w:numId="16">
    <w:abstractNumId w:val="10"/>
  </w:num>
  <w:num w:numId="17">
    <w:abstractNumId w:val="20"/>
  </w:num>
  <w:num w:numId="18">
    <w:abstractNumId w:val="3"/>
  </w:num>
  <w:num w:numId="19">
    <w:abstractNumId w:val="0"/>
  </w:num>
  <w:num w:numId="20">
    <w:abstractNumId w:val="4"/>
  </w:num>
  <w:num w:numId="21">
    <w:abstractNumId w:val="22"/>
  </w:num>
  <w:num w:numId="22">
    <w:abstractNumId w:val="6"/>
  </w:num>
  <w:num w:numId="2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390"/>
    <w:rsid w:val="00045994"/>
    <w:rsid w:val="0006314F"/>
    <w:rsid w:val="000C057A"/>
    <w:rsid w:val="000D2234"/>
    <w:rsid w:val="000D4C7E"/>
    <w:rsid w:val="000D6577"/>
    <w:rsid w:val="000E3115"/>
    <w:rsid w:val="00103D03"/>
    <w:rsid w:val="00155515"/>
    <w:rsid w:val="00163644"/>
    <w:rsid w:val="001D06F5"/>
    <w:rsid w:val="0023379A"/>
    <w:rsid w:val="002925C5"/>
    <w:rsid w:val="002B3877"/>
    <w:rsid w:val="002C6BD1"/>
    <w:rsid w:val="002D07CB"/>
    <w:rsid w:val="002F1B68"/>
    <w:rsid w:val="00334D2A"/>
    <w:rsid w:val="00381E94"/>
    <w:rsid w:val="003978D1"/>
    <w:rsid w:val="003A5B6B"/>
    <w:rsid w:val="003C0C97"/>
    <w:rsid w:val="00410046"/>
    <w:rsid w:val="00442AAA"/>
    <w:rsid w:val="00497390"/>
    <w:rsid w:val="004E1BE7"/>
    <w:rsid w:val="005157DD"/>
    <w:rsid w:val="00525E89"/>
    <w:rsid w:val="0053007A"/>
    <w:rsid w:val="005C1490"/>
    <w:rsid w:val="00604D44"/>
    <w:rsid w:val="00644FAB"/>
    <w:rsid w:val="00711192"/>
    <w:rsid w:val="007313E4"/>
    <w:rsid w:val="00737FE6"/>
    <w:rsid w:val="0076706C"/>
    <w:rsid w:val="0076739A"/>
    <w:rsid w:val="00804658"/>
    <w:rsid w:val="00857A29"/>
    <w:rsid w:val="008A6A9C"/>
    <w:rsid w:val="008C06F3"/>
    <w:rsid w:val="008D48A9"/>
    <w:rsid w:val="0090144F"/>
    <w:rsid w:val="0090471D"/>
    <w:rsid w:val="00911C61"/>
    <w:rsid w:val="0098511B"/>
    <w:rsid w:val="009A71C2"/>
    <w:rsid w:val="009B4D20"/>
    <w:rsid w:val="009E1C80"/>
    <w:rsid w:val="009E2FE8"/>
    <w:rsid w:val="009F5848"/>
    <w:rsid w:val="00A259FB"/>
    <w:rsid w:val="00A66E16"/>
    <w:rsid w:val="00A7609B"/>
    <w:rsid w:val="00A76B0D"/>
    <w:rsid w:val="00A96833"/>
    <w:rsid w:val="00AF01F8"/>
    <w:rsid w:val="00B0016F"/>
    <w:rsid w:val="00B112EA"/>
    <w:rsid w:val="00B45BCE"/>
    <w:rsid w:val="00B77C5A"/>
    <w:rsid w:val="00B87529"/>
    <w:rsid w:val="00B91F83"/>
    <w:rsid w:val="00B960E1"/>
    <w:rsid w:val="00BE0D86"/>
    <w:rsid w:val="00C406C7"/>
    <w:rsid w:val="00C51F73"/>
    <w:rsid w:val="00C61E2B"/>
    <w:rsid w:val="00C67DCB"/>
    <w:rsid w:val="00C73FF4"/>
    <w:rsid w:val="00CC3CD4"/>
    <w:rsid w:val="00CD2DDA"/>
    <w:rsid w:val="00D05B76"/>
    <w:rsid w:val="00D21FFD"/>
    <w:rsid w:val="00D46B88"/>
    <w:rsid w:val="00D71C08"/>
    <w:rsid w:val="00DD107F"/>
    <w:rsid w:val="00DD5C19"/>
    <w:rsid w:val="00DF1584"/>
    <w:rsid w:val="00E57307"/>
    <w:rsid w:val="00E754D4"/>
    <w:rsid w:val="00EA5F0E"/>
    <w:rsid w:val="00EB5198"/>
    <w:rsid w:val="00EB61BE"/>
    <w:rsid w:val="00EB6ABA"/>
    <w:rsid w:val="00EC44DD"/>
    <w:rsid w:val="00F06702"/>
    <w:rsid w:val="00F3373C"/>
    <w:rsid w:val="00F43991"/>
    <w:rsid w:val="00F449C9"/>
    <w:rsid w:val="00F60C01"/>
    <w:rsid w:val="00F66A5C"/>
    <w:rsid w:val="00F92F17"/>
    <w:rsid w:val="00F96CFF"/>
    <w:rsid w:val="00FC0600"/>
    <w:rsid w:val="00FF62C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1827A654-5604-447D-A8DE-17AF20AC0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857A29"/>
    <w:pPr>
      <w:widowControl w:val="0"/>
      <w:spacing w:before="59" w:after="0" w:line="240" w:lineRule="auto"/>
      <w:ind w:right="63"/>
      <w:jc w:val="both"/>
      <w:outlineLvl w:val="0"/>
    </w:pPr>
    <w:rPr>
      <w:rFonts w:ascii="CamberW04-Regular" w:eastAsia="Times New Roman" w:hAnsi="CamberW04-Regular" w:cs="Calibri"/>
      <w:b/>
      <w:bCs/>
      <w:noProof/>
      <w:color w:val="2E74B5" w:themeColor="accent1" w:themeShade="BF"/>
      <w:spacing w:val="-2"/>
      <w:sz w:val="32"/>
      <w:szCs w:val="32"/>
      <w:lang w:eastAsia="tr-TR"/>
    </w:rPr>
  </w:style>
  <w:style w:type="paragraph" w:styleId="Balk2">
    <w:name w:val="heading 2"/>
    <w:basedOn w:val="Normal"/>
    <w:link w:val="Balk2Char"/>
    <w:uiPriority w:val="9"/>
    <w:unhideWhenUsed/>
    <w:qFormat/>
    <w:rsid w:val="00857A29"/>
    <w:pPr>
      <w:widowControl w:val="0"/>
      <w:spacing w:after="0" w:line="240" w:lineRule="auto"/>
      <w:ind w:right="63"/>
      <w:jc w:val="both"/>
      <w:outlineLvl w:val="1"/>
    </w:pPr>
    <w:rPr>
      <w:rFonts w:ascii="CamberW04-Regular" w:eastAsia="CamberW04-Regular" w:hAnsi="CamberW04-Regular" w:cs="CamberW04-Regular"/>
      <w:b/>
      <w:bCs/>
      <w:noProof/>
      <w:sz w:val="24"/>
      <w:szCs w:val="28"/>
      <w:lang w:eastAsia="tr-TR"/>
    </w:rPr>
  </w:style>
  <w:style w:type="paragraph" w:styleId="Balk3">
    <w:name w:val="heading 3"/>
    <w:basedOn w:val="Normal"/>
    <w:next w:val="Normal"/>
    <w:link w:val="Balk3Char"/>
    <w:uiPriority w:val="9"/>
    <w:unhideWhenUsed/>
    <w:qFormat/>
    <w:rsid w:val="000C057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0C057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unhideWhenUsed/>
    <w:qFormat/>
    <w:rsid w:val="000C057A"/>
    <w:pPr>
      <w:keepNext/>
      <w:keepLines/>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D46B88"/>
    <w:pPr>
      <w:keepNext/>
      <w:keepLines/>
      <w:spacing w:before="40" w:after="0" w:line="278" w:lineRule="auto"/>
      <w:outlineLvl w:val="5"/>
    </w:pPr>
    <w:rPr>
      <w:rFonts w:eastAsiaTheme="majorEastAsia" w:cstheme="majorBidi"/>
      <w:i/>
      <w:iCs/>
      <w:color w:val="595959" w:themeColor="text1" w:themeTint="A6"/>
      <w:kern w:val="2"/>
      <w:sz w:val="24"/>
      <w:szCs w:val="24"/>
      <w:lang w:eastAsia="zh-CN"/>
      <w14:ligatures w14:val="standardContextual"/>
    </w:rPr>
  </w:style>
  <w:style w:type="paragraph" w:styleId="Balk7">
    <w:name w:val="heading 7"/>
    <w:basedOn w:val="Normal"/>
    <w:next w:val="Normal"/>
    <w:link w:val="Balk7Char"/>
    <w:uiPriority w:val="9"/>
    <w:semiHidden/>
    <w:unhideWhenUsed/>
    <w:qFormat/>
    <w:rsid w:val="00D46B88"/>
    <w:pPr>
      <w:keepNext/>
      <w:keepLines/>
      <w:spacing w:before="40" w:after="0" w:line="278" w:lineRule="auto"/>
      <w:outlineLvl w:val="6"/>
    </w:pPr>
    <w:rPr>
      <w:rFonts w:eastAsiaTheme="majorEastAsia" w:cstheme="majorBidi"/>
      <w:color w:val="595959" w:themeColor="text1" w:themeTint="A6"/>
      <w:kern w:val="2"/>
      <w:sz w:val="24"/>
      <w:szCs w:val="24"/>
      <w:lang w:eastAsia="zh-CN"/>
      <w14:ligatures w14:val="standardContextual"/>
    </w:rPr>
  </w:style>
  <w:style w:type="paragraph" w:styleId="Balk8">
    <w:name w:val="heading 8"/>
    <w:basedOn w:val="Normal"/>
    <w:next w:val="Normal"/>
    <w:link w:val="Balk8Char"/>
    <w:uiPriority w:val="9"/>
    <w:semiHidden/>
    <w:unhideWhenUsed/>
    <w:qFormat/>
    <w:rsid w:val="00D46B88"/>
    <w:pPr>
      <w:keepNext/>
      <w:keepLines/>
      <w:spacing w:after="0" w:line="278" w:lineRule="auto"/>
      <w:outlineLvl w:val="7"/>
    </w:pPr>
    <w:rPr>
      <w:rFonts w:eastAsiaTheme="majorEastAsia" w:cstheme="majorBidi"/>
      <w:i/>
      <w:iCs/>
      <w:color w:val="272727" w:themeColor="text1" w:themeTint="D8"/>
      <w:kern w:val="2"/>
      <w:sz w:val="24"/>
      <w:szCs w:val="24"/>
      <w:lang w:eastAsia="zh-CN"/>
      <w14:ligatures w14:val="standardContextual"/>
    </w:rPr>
  </w:style>
  <w:style w:type="paragraph" w:styleId="Balk9">
    <w:name w:val="heading 9"/>
    <w:basedOn w:val="Normal"/>
    <w:next w:val="Normal"/>
    <w:link w:val="Balk9Char"/>
    <w:uiPriority w:val="9"/>
    <w:semiHidden/>
    <w:unhideWhenUsed/>
    <w:qFormat/>
    <w:rsid w:val="00D46B88"/>
    <w:pPr>
      <w:keepNext/>
      <w:keepLines/>
      <w:spacing w:after="0" w:line="278" w:lineRule="auto"/>
      <w:outlineLvl w:val="8"/>
    </w:pPr>
    <w:rPr>
      <w:rFonts w:eastAsiaTheme="majorEastAsia" w:cstheme="majorBidi"/>
      <w:color w:val="272727" w:themeColor="text1" w:themeTint="D8"/>
      <w:kern w:val="2"/>
      <w:sz w:val="24"/>
      <w:szCs w:val="24"/>
      <w:lang w:eastAsia="zh-CN"/>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63644"/>
    <w:pPr>
      <w:ind w:left="720"/>
      <w:contextualSpacing/>
    </w:pPr>
  </w:style>
  <w:style w:type="table" w:styleId="TabloKlavuzu">
    <w:name w:val="Table Grid"/>
    <w:basedOn w:val="NormalTablo"/>
    <w:uiPriority w:val="39"/>
    <w:rsid w:val="00163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57A29"/>
    <w:rPr>
      <w:rFonts w:ascii="CamberW04-Regular" w:eastAsia="Times New Roman" w:hAnsi="CamberW04-Regular" w:cs="Calibri"/>
      <w:b/>
      <w:bCs/>
      <w:noProof/>
      <w:color w:val="2E74B5" w:themeColor="accent1" w:themeShade="BF"/>
      <w:spacing w:val="-2"/>
      <w:sz w:val="32"/>
      <w:szCs w:val="32"/>
      <w:lang w:eastAsia="tr-TR"/>
    </w:rPr>
  </w:style>
  <w:style w:type="character" w:customStyle="1" w:styleId="Balk2Char">
    <w:name w:val="Başlık 2 Char"/>
    <w:basedOn w:val="VarsaylanParagrafYazTipi"/>
    <w:link w:val="Balk2"/>
    <w:uiPriority w:val="9"/>
    <w:rsid w:val="00857A29"/>
    <w:rPr>
      <w:rFonts w:ascii="CamberW04-Regular" w:eastAsia="CamberW04-Regular" w:hAnsi="CamberW04-Regular" w:cs="CamberW04-Regular"/>
      <w:b/>
      <w:bCs/>
      <w:noProof/>
      <w:sz w:val="24"/>
      <w:szCs w:val="28"/>
      <w:lang w:eastAsia="tr-TR"/>
    </w:rPr>
  </w:style>
  <w:style w:type="character" w:customStyle="1" w:styleId="Balk3Char">
    <w:name w:val="Başlık 3 Char"/>
    <w:basedOn w:val="VarsaylanParagrafYazTipi"/>
    <w:link w:val="Balk3"/>
    <w:uiPriority w:val="9"/>
    <w:semiHidden/>
    <w:rsid w:val="000C057A"/>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sid w:val="000C057A"/>
    <w:rPr>
      <w:rFonts w:asciiTheme="majorHAnsi" w:eastAsiaTheme="majorEastAsia" w:hAnsiTheme="majorHAnsi" w:cstheme="majorBidi"/>
      <w:i/>
      <w:iCs/>
      <w:color w:val="2E74B5" w:themeColor="accent1" w:themeShade="BF"/>
    </w:rPr>
  </w:style>
  <w:style w:type="character" w:customStyle="1" w:styleId="Balk5Char">
    <w:name w:val="Başlık 5 Char"/>
    <w:basedOn w:val="VarsaylanParagrafYazTipi"/>
    <w:link w:val="Balk5"/>
    <w:uiPriority w:val="9"/>
    <w:semiHidden/>
    <w:rsid w:val="000C057A"/>
    <w:rPr>
      <w:rFonts w:asciiTheme="majorHAnsi" w:eastAsiaTheme="majorEastAsia" w:hAnsiTheme="majorHAnsi" w:cstheme="majorBidi"/>
      <w:color w:val="2E74B5" w:themeColor="accent1" w:themeShade="BF"/>
    </w:rPr>
  </w:style>
  <w:style w:type="table" w:customStyle="1" w:styleId="TableNormal">
    <w:name w:val="Table Normal"/>
    <w:uiPriority w:val="2"/>
    <w:semiHidden/>
    <w:unhideWhenUsed/>
    <w:qFormat/>
    <w:rsid w:val="000C05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1"/>
    <w:qFormat/>
    <w:rsid w:val="000C057A"/>
    <w:pPr>
      <w:widowControl w:val="0"/>
      <w:autoSpaceDE w:val="0"/>
      <w:autoSpaceDN w:val="0"/>
      <w:spacing w:before="174" w:after="0" w:line="240" w:lineRule="auto"/>
      <w:ind w:left="457"/>
    </w:pPr>
    <w:rPr>
      <w:rFonts w:ascii="Times New Roman" w:eastAsia="Times New Roman" w:hAnsi="Times New Roman" w:cs="Times New Roman"/>
      <w:b/>
      <w:bCs/>
    </w:rPr>
  </w:style>
  <w:style w:type="paragraph" w:styleId="T2">
    <w:name w:val="toc 2"/>
    <w:basedOn w:val="Normal"/>
    <w:uiPriority w:val="1"/>
    <w:qFormat/>
    <w:rsid w:val="000C057A"/>
    <w:pPr>
      <w:widowControl w:val="0"/>
      <w:autoSpaceDE w:val="0"/>
      <w:autoSpaceDN w:val="0"/>
      <w:spacing w:before="174" w:after="0" w:line="240" w:lineRule="auto"/>
      <w:ind w:left="457"/>
    </w:pPr>
    <w:rPr>
      <w:rFonts w:ascii="Times New Roman" w:eastAsia="Times New Roman" w:hAnsi="Times New Roman" w:cs="Times New Roman"/>
      <w:b/>
      <w:bCs/>
    </w:rPr>
  </w:style>
  <w:style w:type="paragraph" w:styleId="T3">
    <w:name w:val="toc 3"/>
    <w:basedOn w:val="Normal"/>
    <w:uiPriority w:val="1"/>
    <w:qFormat/>
    <w:rsid w:val="000C057A"/>
    <w:pPr>
      <w:widowControl w:val="0"/>
      <w:autoSpaceDE w:val="0"/>
      <w:autoSpaceDN w:val="0"/>
      <w:spacing w:before="174" w:after="0" w:line="240" w:lineRule="auto"/>
      <w:ind w:left="1107" w:hanging="434"/>
    </w:pPr>
    <w:rPr>
      <w:rFonts w:ascii="Times New Roman" w:eastAsia="Times New Roman" w:hAnsi="Times New Roman" w:cs="Times New Roman"/>
      <w:b/>
      <w:bCs/>
    </w:rPr>
  </w:style>
  <w:style w:type="paragraph" w:styleId="GvdeMetni">
    <w:name w:val="Body Text"/>
    <w:basedOn w:val="Normal"/>
    <w:link w:val="GvdeMetniChar"/>
    <w:uiPriority w:val="1"/>
    <w:qFormat/>
    <w:rsid w:val="000C057A"/>
    <w:pPr>
      <w:widowControl w:val="0"/>
      <w:autoSpaceDE w:val="0"/>
      <w:autoSpaceDN w:val="0"/>
      <w:spacing w:after="0" w:line="240" w:lineRule="auto"/>
    </w:pPr>
    <w:rPr>
      <w:rFonts w:ascii="Times New Roman" w:eastAsia="Times New Roman" w:hAnsi="Times New Roman" w:cs="Times New Roman"/>
      <w:i/>
      <w:iCs/>
    </w:rPr>
  </w:style>
  <w:style w:type="character" w:customStyle="1" w:styleId="GvdeMetniChar">
    <w:name w:val="Gövde Metni Char"/>
    <w:basedOn w:val="VarsaylanParagrafYazTipi"/>
    <w:link w:val="GvdeMetni"/>
    <w:uiPriority w:val="1"/>
    <w:rsid w:val="000C057A"/>
    <w:rPr>
      <w:rFonts w:ascii="Times New Roman" w:eastAsia="Times New Roman" w:hAnsi="Times New Roman" w:cs="Times New Roman"/>
      <w:i/>
      <w:iCs/>
    </w:rPr>
  </w:style>
  <w:style w:type="paragraph" w:styleId="KonuBal">
    <w:name w:val="Title"/>
    <w:basedOn w:val="Normal"/>
    <w:link w:val="KonuBalChar"/>
    <w:uiPriority w:val="10"/>
    <w:qFormat/>
    <w:rsid w:val="000C057A"/>
    <w:pPr>
      <w:widowControl w:val="0"/>
      <w:autoSpaceDE w:val="0"/>
      <w:autoSpaceDN w:val="0"/>
      <w:spacing w:after="0" w:line="240" w:lineRule="auto"/>
      <w:ind w:right="69"/>
      <w:jc w:val="center"/>
    </w:pPr>
    <w:rPr>
      <w:rFonts w:ascii="Times New Roman" w:eastAsia="Times New Roman" w:hAnsi="Times New Roman" w:cs="Times New Roman"/>
      <w:b/>
      <w:bCs/>
      <w:sz w:val="40"/>
      <w:szCs w:val="40"/>
    </w:rPr>
  </w:style>
  <w:style w:type="character" w:customStyle="1" w:styleId="KonuBalChar">
    <w:name w:val="Konu Başlığı Char"/>
    <w:basedOn w:val="VarsaylanParagrafYazTipi"/>
    <w:link w:val="KonuBal"/>
    <w:uiPriority w:val="10"/>
    <w:rsid w:val="000C057A"/>
    <w:rPr>
      <w:rFonts w:ascii="Times New Roman" w:eastAsia="Times New Roman" w:hAnsi="Times New Roman" w:cs="Times New Roman"/>
      <w:b/>
      <w:bCs/>
      <w:sz w:val="40"/>
      <w:szCs w:val="40"/>
    </w:rPr>
  </w:style>
  <w:style w:type="paragraph" w:customStyle="1" w:styleId="TableParagraph">
    <w:name w:val="Table Paragraph"/>
    <w:basedOn w:val="Normal"/>
    <w:uiPriority w:val="1"/>
    <w:qFormat/>
    <w:rsid w:val="000C057A"/>
    <w:pPr>
      <w:widowControl w:val="0"/>
      <w:autoSpaceDE w:val="0"/>
      <w:autoSpaceDN w:val="0"/>
      <w:spacing w:after="0" w:line="240" w:lineRule="auto"/>
    </w:pPr>
    <w:rPr>
      <w:rFonts w:ascii="Times New Roman" w:eastAsia="Times New Roman" w:hAnsi="Times New Roman" w:cs="Times New Roman"/>
    </w:rPr>
  </w:style>
  <w:style w:type="paragraph" w:styleId="stbilgi">
    <w:name w:val="header"/>
    <w:basedOn w:val="Normal"/>
    <w:link w:val="stbilgiChar"/>
    <w:uiPriority w:val="99"/>
    <w:unhideWhenUsed/>
    <w:rsid w:val="000C05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C057A"/>
  </w:style>
  <w:style w:type="paragraph" w:styleId="Altbilgi">
    <w:name w:val="footer"/>
    <w:basedOn w:val="Normal"/>
    <w:link w:val="AltbilgiChar"/>
    <w:uiPriority w:val="99"/>
    <w:unhideWhenUsed/>
    <w:rsid w:val="000C05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C057A"/>
  </w:style>
  <w:style w:type="character" w:styleId="Kpr">
    <w:name w:val="Hyperlink"/>
    <w:basedOn w:val="VarsaylanParagrafYazTipi"/>
    <w:uiPriority w:val="99"/>
    <w:unhideWhenUsed/>
    <w:rsid w:val="0006314F"/>
    <w:rPr>
      <w:color w:val="0563C1" w:themeColor="hyperlink"/>
      <w:u w:val="single"/>
    </w:rPr>
  </w:style>
  <w:style w:type="paragraph" w:customStyle="1" w:styleId="Default">
    <w:name w:val="Default"/>
    <w:rsid w:val="00F449C9"/>
    <w:pPr>
      <w:autoSpaceDE w:val="0"/>
      <w:autoSpaceDN w:val="0"/>
      <w:adjustRightInd w:val="0"/>
      <w:spacing w:after="0" w:line="240" w:lineRule="auto"/>
    </w:pPr>
    <w:rPr>
      <w:rFonts w:ascii="Symbol" w:hAnsi="Symbol" w:cs="Symbol"/>
      <w:color w:val="000000"/>
      <w:sz w:val="24"/>
      <w:szCs w:val="24"/>
    </w:rPr>
  </w:style>
  <w:style w:type="paragraph" w:styleId="NormalWeb">
    <w:name w:val="Normal (Web)"/>
    <w:basedOn w:val="Normal"/>
    <w:uiPriority w:val="99"/>
    <w:semiHidden/>
    <w:unhideWhenUsed/>
    <w:rsid w:val="00C73FF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6Char">
    <w:name w:val="Başlık 6 Char"/>
    <w:basedOn w:val="VarsaylanParagrafYazTipi"/>
    <w:link w:val="Balk6"/>
    <w:uiPriority w:val="9"/>
    <w:semiHidden/>
    <w:rsid w:val="00D46B88"/>
    <w:rPr>
      <w:rFonts w:eastAsiaTheme="majorEastAsia" w:cstheme="majorBidi"/>
      <w:i/>
      <w:iCs/>
      <w:color w:val="595959" w:themeColor="text1" w:themeTint="A6"/>
      <w:kern w:val="2"/>
      <w:sz w:val="24"/>
      <w:szCs w:val="24"/>
      <w:lang w:eastAsia="zh-CN"/>
      <w14:ligatures w14:val="standardContextual"/>
    </w:rPr>
  </w:style>
  <w:style w:type="character" w:customStyle="1" w:styleId="Balk7Char">
    <w:name w:val="Başlık 7 Char"/>
    <w:basedOn w:val="VarsaylanParagrafYazTipi"/>
    <w:link w:val="Balk7"/>
    <w:uiPriority w:val="9"/>
    <w:semiHidden/>
    <w:rsid w:val="00D46B88"/>
    <w:rPr>
      <w:rFonts w:eastAsiaTheme="majorEastAsia" w:cstheme="majorBidi"/>
      <w:color w:val="595959" w:themeColor="text1" w:themeTint="A6"/>
      <w:kern w:val="2"/>
      <w:sz w:val="24"/>
      <w:szCs w:val="24"/>
      <w:lang w:eastAsia="zh-CN"/>
      <w14:ligatures w14:val="standardContextual"/>
    </w:rPr>
  </w:style>
  <w:style w:type="character" w:customStyle="1" w:styleId="Balk8Char">
    <w:name w:val="Başlık 8 Char"/>
    <w:basedOn w:val="VarsaylanParagrafYazTipi"/>
    <w:link w:val="Balk8"/>
    <w:uiPriority w:val="9"/>
    <w:semiHidden/>
    <w:rsid w:val="00D46B88"/>
    <w:rPr>
      <w:rFonts w:eastAsiaTheme="majorEastAsia" w:cstheme="majorBidi"/>
      <w:i/>
      <w:iCs/>
      <w:color w:val="272727" w:themeColor="text1" w:themeTint="D8"/>
      <w:kern w:val="2"/>
      <w:sz w:val="24"/>
      <w:szCs w:val="24"/>
      <w:lang w:eastAsia="zh-CN"/>
      <w14:ligatures w14:val="standardContextual"/>
    </w:rPr>
  </w:style>
  <w:style w:type="character" w:customStyle="1" w:styleId="Balk9Char">
    <w:name w:val="Başlık 9 Char"/>
    <w:basedOn w:val="VarsaylanParagrafYazTipi"/>
    <w:link w:val="Balk9"/>
    <w:uiPriority w:val="9"/>
    <w:semiHidden/>
    <w:rsid w:val="00D46B88"/>
    <w:rPr>
      <w:rFonts w:eastAsiaTheme="majorEastAsia" w:cstheme="majorBidi"/>
      <w:color w:val="272727" w:themeColor="text1" w:themeTint="D8"/>
      <w:kern w:val="2"/>
      <w:sz w:val="24"/>
      <w:szCs w:val="24"/>
      <w:lang w:eastAsia="zh-CN"/>
      <w14:ligatures w14:val="standardContextual"/>
    </w:rPr>
  </w:style>
  <w:style w:type="paragraph" w:styleId="Altyaz">
    <w:name w:val="Subtitle"/>
    <w:basedOn w:val="Normal"/>
    <w:next w:val="Normal"/>
    <w:link w:val="AltyazChar"/>
    <w:uiPriority w:val="11"/>
    <w:qFormat/>
    <w:rsid w:val="00D46B88"/>
    <w:pPr>
      <w:numPr>
        <w:ilvl w:val="1"/>
      </w:numPr>
      <w:spacing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AltyazChar">
    <w:name w:val="Altyazı Char"/>
    <w:basedOn w:val="VarsaylanParagrafYazTipi"/>
    <w:link w:val="Altyaz"/>
    <w:uiPriority w:val="11"/>
    <w:rsid w:val="00D46B88"/>
    <w:rPr>
      <w:rFonts w:eastAsiaTheme="majorEastAsia" w:cstheme="majorBidi"/>
      <w:color w:val="595959" w:themeColor="text1" w:themeTint="A6"/>
      <w:spacing w:val="15"/>
      <w:kern w:val="2"/>
      <w:sz w:val="28"/>
      <w:szCs w:val="28"/>
      <w:lang w:eastAsia="zh-CN"/>
      <w14:ligatures w14:val="standardContextual"/>
    </w:rPr>
  </w:style>
  <w:style w:type="paragraph" w:styleId="Alnt">
    <w:name w:val="Quote"/>
    <w:basedOn w:val="Normal"/>
    <w:next w:val="Normal"/>
    <w:link w:val="AlntChar"/>
    <w:uiPriority w:val="29"/>
    <w:qFormat/>
    <w:rsid w:val="00D46B88"/>
    <w:pPr>
      <w:spacing w:before="160" w:line="278" w:lineRule="auto"/>
      <w:jc w:val="center"/>
    </w:pPr>
    <w:rPr>
      <w:rFonts w:eastAsiaTheme="minorEastAsia"/>
      <w:i/>
      <w:iCs/>
      <w:color w:val="404040" w:themeColor="text1" w:themeTint="BF"/>
      <w:kern w:val="2"/>
      <w:sz w:val="24"/>
      <w:szCs w:val="24"/>
      <w:lang w:eastAsia="zh-CN"/>
      <w14:ligatures w14:val="standardContextual"/>
    </w:rPr>
  </w:style>
  <w:style w:type="character" w:customStyle="1" w:styleId="AlntChar">
    <w:name w:val="Alıntı Char"/>
    <w:basedOn w:val="VarsaylanParagrafYazTipi"/>
    <w:link w:val="Alnt"/>
    <w:uiPriority w:val="29"/>
    <w:rsid w:val="00D46B88"/>
    <w:rPr>
      <w:rFonts w:eastAsiaTheme="minorEastAsia"/>
      <w:i/>
      <w:iCs/>
      <w:color w:val="404040" w:themeColor="text1" w:themeTint="BF"/>
      <w:kern w:val="2"/>
      <w:sz w:val="24"/>
      <w:szCs w:val="24"/>
      <w:lang w:eastAsia="zh-CN"/>
      <w14:ligatures w14:val="standardContextual"/>
    </w:rPr>
  </w:style>
  <w:style w:type="character" w:styleId="GlVurgulama">
    <w:name w:val="Intense Emphasis"/>
    <w:basedOn w:val="VarsaylanParagrafYazTipi"/>
    <w:uiPriority w:val="21"/>
    <w:qFormat/>
    <w:rsid w:val="00D46B88"/>
    <w:rPr>
      <w:i/>
      <w:iCs/>
      <w:color w:val="2E74B5" w:themeColor="accent1" w:themeShade="BF"/>
    </w:rPr>
  </w:style>
  <w:style w:type="paragraph" w:styleId="GlAlnt">
    <w:name w:val="Intense Quote"/>
    <w:basedOn w:val="Normal"/>
    <w:next w:val="Normal"/>
    <w:link w:val="GlAlntChar"/>
    <w:uiPriority w:val="30"/>
    <w:qFormat/>
    <w:rsid w:val="00D46B88"/>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eastAsiaTheme="minorEastAsia"/>
      <w:i/>
      <w:iCs/>
      <w:color w:val="2E74B5" w:themeColor="accent1" w:themeShade="BF"/>
      <w:kern w:val="2"/>
      <w:sz w:val="24"/>
      <w:szCs w:val="24"/>
      <w:lang w:eastAsia="zh-CN"/>
      <w14:ligatures w14:val="standardContextual"/>
    </w:rPr>
  </w:style>
  <w:style w:type="character" w:customStyle="1" w:styleId="GlAlntChar">
    <w:name w:val="Güçlü Alıntı Char"/>
    <w:basedOn w:val="VarsaylanParagrafYazTipi"/>
    <w:link w:val="GlAlnt"/>
    <w:uiPriority w:val="30"/>
    <w:rsid w:val="00D46B88"/>
    <w:rPr>
      <w:rFonts w:eastAsiaTheme="minorEastAsia"/>
      <w:i/>
      <w:iCs/>
      <w:color w:val="2E74B5" w:themeColor="accent1" w:themeShade="BF"/>
      <w:kern w:val="2"/>
      <w:sz w:val="24"/>
      <w:szCs w:val="24"/>
      <w:lang w:eastAsia="zh-CN"/>
      <w14:ligatures w14:val="standardContextual"/>
    </w:rPr>
  </w:style>
  <w:style w:type="character" w:styleId="GlBavuru">
    <w:name w:val="Intense Reference"/>
    <w:basedOn w:val="VarsaylanParagrafYazTipi"/>
    <w:uiPriority w:val="32"/>
    <w:qFormat/>
    <w:rsid w:val="00D46B88"/>
    <w:rPr>
      <w:b/>
      <w:bCs/>
      <w:smallCaps/>
      <w:color w:val="2E74B5" w:themeColor="accent1" w:themeShade="BF"/>
      <w:spacing w:val="5"/>
    </w:rPr>
  </w:style>
  <w:style w:type="character" w:customStyle="1" w:styleId="UnresolvedMention">
    <w:name w:val="Unresolved Mention"/>
    <w:basedOn w:val="VarsaylanParagrafYazTipi"/>
    <w:uiPriority w:val="99"/>
    <w:semiHidden/>
    <w:unhideWhenUsed/>
    <w:rsid w:val="00D46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981940">
      <w:bodyDiv w:val="1"/>
      <w:marLeft w:val="0"/>
      <w:marRight w:val="0"/>
      <w:marTop w:val="0"/>
      <w:marBottom w:val="0"/>
      <w:divBdr>
        <w:top w:val="none" w:sz="0" w:space="0" w:color="auto"/>
        <w:left w:val="none" w:sz="0" w:space="0" w:color="auto"/>
        <w:bottom w:val="none" w:sz="0" w:space="0" w:color="auto"/>
        <w:right w:val="none" w:sz="0" w:space="0" w:color="auto"/>
      </w:divBdr>
    </w:div>
    <w:div w:id="334649137">
      <w:bodyDiv w:val="1"/>
      <w:marLeft w:val="0"/>
      <w:marRight w:val="0"/>
      <w:marTop w:val="0"/>
      <w:marBottom w:val="0"/>
      <w:divBdr>
        <w:top w:val="none" w:sz="0" w:space="0" w:color="auto"/>
        <w:left w:val="none" w:sz="0" w:space="0" w:color="auto"/>
        <w:bottom w:val="none" w:sz="0" w:space="0" w:color="auto"/>
        <w:right w:val="none" w:sz="0" w:space="0" w:color="auto"/>
      </w:divBdr>
    </w:div>
    <w:div w:id="1327902219">
      <w:bodyDiv w:val="1"/>
      <w:marLeft w:val="0"/>
      <w:marRight w:val="0"/>
      <w:marTop w:val="0"/>
      <w:marBottom w:val="0"/>
      <w:divBdr>
        <w:top w:val="none" w:sz="0" w:space="0" w:color="auto"/>
        <w:left w:val="none" w:sz="0" w:space="0" w:color="auto"/>
        <w:bottom w:val="none" w:sz="0" w:space="0" w:color="auto"/>
        <w:right w:val="none" w:sz="0" w:space="0" w:color="auto"/>
      </w:divBdr>
    </w:div>
    <w:div w:id="1729498664">
      <w:bodyDiv w:val="1"/>
      <w:marLeft w:val="0"/>
      <w:marRight w:val="0"/>
      <w:marTop w:val="0"/>
      <w:marBottom w:val="0"/>
      <w:divBdr>
        <w:top w:val="none" w:sz="0" w:space="0" w:color="auto"/>
        <w:left w:val="none" w:sz="0" w:space="0" w:color="auto"/>
        <w:bottom w:val="none" w:sz="0" w:space="0" w:color="auto"/>
        <w:right w:val="none" w:sz="0" w:space="0" w:color="auto"/>
      </w:divBdr>
    </w:div>
    <w:div w:id="178009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po.aksaray.edu.tr/" TargetMode="External"/><Relationship Id="rId18" Type="http://schemas.openxmlformats.org/officeDocument/2006/relationships/hyperlink" Target="https://www.aksaray.edu.tr/mezun-bilgi-sistemi" TargetMode="External"/><Relationship Id="rId26" Type="http://schemas.openxmlformats.org/officeDocument/2006/relationships/hyperlink" Target="https://aksaray.edu.tr/asude-toplumsal-katki-koordinatorlugu-kuruldu" TargetMode="External"/><Relationship Id="rId39" Type="http://schemas.openxmlformats.org/officeDocument/2006/relationships/footer" Target="footer1.xml"/><Relationship Id="rId21" Type="http://schemas.openxmlformats.org/officeDocument/2006/relationships/hyperlink" Target="https://egitim.aksaray.edu.tr/egiticilerin-egitimi-sertifika-programi-tamamlandi" TargetMode="External"/><Relationship Id="rId34" Type="http://schemas.openxmlformats.org/officeDocument/2006/relationships/hyperlink" Target="https://egitim.aksaray.edu.tr/TK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rateji.aksaray.edu.tr/Bilgi-Belge" TargetMode="External"/><Relationship Id="rId20" Type="http://schemas.openxmlformats.org/officeDocument/2006/relationships/hyperlink" Target="https://ogris.aksaray.edu.tr/dosya/11b94cdb-e09e-43e9-b931-e8d829acf6b7.pdf" TargetMode="External"/><Relationship Id="rId29" Type="http://schemas.openxmlformats.org/officeDocument/2006/relationships/hyperlink" Target="https://ogris.aksaray.edu.tr/dosya/11b94cdb-e09e-43e9-b931-e8d829acf6b7.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o.aksaray.edu.tr/Akademik-Personel" TargetMode="External"/><Relationship Id="rId24" Type="http://schemas.openxmlformats.org/officeDocument/2006/relationships/hyperlink" Target="https://kalite.aksaray.edu.tr/dosya/637ac3d7-37fd-4a56-8b2f-d31ff24de953.pdf" TargetMode="External"/><Relationship Id="rId32" Type="http://schemas.openxmlformats.org/officeDocument/2006/relationships/hyperlink" Target="https://toplumsalkatki.aksaray.edu.tr/koordinasyon-kurulu" TargetMode="External"/><Relationship Id="rId37" Type="http://schemas.openxmlformats.org/officeDocument/2006/relationships/hyperlink" Target="https://egitim.aksaray.edu.tr/TKF"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gris.aksaray.edu.tr/dosya/11b94cdb-e09e-43e9-b931-e8d829acf6b7.pdf" TargetMode="External"/><Relationship Id="rId23" Type="http://schemas.openxmlformats.org/officeDocument/2006/relationships/hyperlink" Target="https://ogris.aksaray.edu.tr/dosya/11b94cdb-e09e-43e9-b931-e8d829acf6b7.pdf" TargetMode="External"/><Relationship Id="rId28" Type="http://schemas.openxmlformats.org/officeDocument/2006/relationships/hyperlink" Target="https://ogris.aksaray.edu.tr/dosya/11b94cdb-e09e-43e9-b931-e8d829acf6b7.pdf" TargetMode="External"/><Relationship Id="rId36" Type="http://schemas.openxmlformats.org/officeDocument/2006/relationships/hyperlink" Target="https://kms.kaysis.gov.tr/Home/Goster/72887" TargetMode="External"/><Relationship Id="rId10" Type="http://schemas.openxmlformats.org/officeDocument/2006/relationships/hyperlink" Target="https://epo.aksaray.edu.tr/" TargetMode="External"/><Relationship Id="rId19" Type="http://schemas.openxmlformats.org/officeDocument/2006/relationships/hyperlink" Target="https://kalite.aksaray.edu.tr/dosya/b66d902f-8842-4889-b1c8-cedaace4d45a.pdf" TargetMode="External"/><Relationship Id="rId31" Type="http://schemas.openxmlformats.org/officeDocument/2006/relationships/hyperlink" Target="https://toplumsalkatki.aksaray.edu.tr/kapsam" TargetMode="External"/><Relationship Id="rId4" Type="http://schemas.openxmlformats.org/officeDocument/2006/relationships/settings" Target="settings.xml"/><Relationship Id="rId9" Type="http://schemas.openxmlformats.org/officeDocument/2006/relationships/hyperlink" Target="https://sbe.aksaray.edu.tr/anabilim-dallari" TargetMode="External"/><Relationship Id="rId14" Type="http://schemas.openxmlformats.org/officeDocument/2006/relationships/hyperlink" Target="https://epo.aksaray.edu.tr/Akademik-Personel" TargetMode="External"/><Relationship Id="rId22" Type="http://schemas.openxmlformats.org/officeDocument/2006/relationships/hyperlink" Target="https://ogris.aksaray.edu.tr/dosya/11b94cdb-e09e-43e9-b931-e8d829acf6b7.pdf" TargetMode="External"/><Relationship Id="rId27" Type="http://schemas.openxmlformats.org/officeDocument/2006/relationships/hyperlink" Target="https://toplumsalkatki.aksaray.edu.tr/hedefler" TargetMode="External"/><Relationship Id="rId30" Type="http://schemas.openxmlformats.org/officeDocument/2006/relationships/hyperlink" Target="https://ogris.aksaray.edu.tr/dosya/11b94cdb-e09e-43e9-b931-e8d829acf6b7.pdf" TargetMode="External"/><Relationship Id="rId35" Type="http://schemas.openxmlformats.org/officeDocument/2006/relationships/hyperlink" Target="https://epo.aksaray.edu.tr/Kalite-komisyonu" TargetMode="External"/><Relationship Id="rId8" Type="http://schemas.openxmlformats.org/officeDocument/2006/relationships/hyperlink" Target="https://sbe.aksaray.edu.tr/anabilim-dallari" TargetMode="External"/><Relationship Id="rId3" Type="http://schemas.openxmlformats.org/officeDocument/2006/relationships/styles" Target="styles.xml"/><Relationship Id="rId12" Type="http://schemas.openxmlformats.org/officeDocument/2006/relationships/hyperlink" Target="https://sbe.aksaray.edu.tr/anabilim-dallari" TargetMode="External"/><Relationship Id="rId17" Type="http://schemas.openxmlformats.org/officeDocument/2006/relationships/hyperlink" Target="https://docs.google.com/forms/d/e/1FAIpQLSdnkolQhxNWgrsEtBPfO5wB3rUSJUd3GfbpX0DxeKpS7eJ-vQ/viewform" TargetMode="External"/><Relationship Id="rId25" Type="http://schemas.openxmlformats.org/officeDocument/2006/relationships/hyperlink" Target="https://toplumsalkatki.aksaray.edu.tr/dosya/97dac2b6-9502-410f-87d5-ea37915a1d17.pdf" TargetMode="External"/><Relationship Id="rId33" Type="http://schemas.openxmlformats.org/officeDocument/2006/relationships/hyperlink" Target="https://egitim.aksaray.edu.tr/Kalite-komisyonu"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7EC88-D131-4409-BC61-3646E842A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15508</Words>
  <Characters>88401</Characters>
  <Application>Microsoft Office Word</Application>
  <DocSecurity>0</DocSecurity>
  <Lines>736</Lines>
  <Paragraphs>207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Microsoft hesabı</cp:lastModifiedBy>
  <cp:revision>2</cp:revision>
  <dcterms:created xsi:type="dcterms:W3CDTF">2026-03-10T12:07:00Z</dcterms:created>
  <dcterms:modified xsi:type="dcterms:W3CDTF">2026-03-10T12:07:00Z</dcterms:modified>
</cp:coreProperties>
</file>